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2A" w:rsidRPr="00A94F2A" w:rsidRDefault="00A94F2A" w:rsidP="00A94F2A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A94F2A">
        <w:rPr>
          <w:rFonts w:ascii="Arial" w:hAnsi="Arial" w:cs="Arial"/>
          <w:color w:val="252525"/>
          <w:kern w:val="36"/>
          <w:sz w:val="48"/>
          <w:szCs w:val="4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</w:t>
      </w:r>
    </w:p>
    <w:p w:rsidR="00A94F2A" w:rsidRPr="00A94F2A" w:rsidRDefault="00A94F2A" w:rsidP="00A94F2A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</w:rPr>
        <w:t>Методические материалы 04 марта 2021  Просмотров: 360</w:t>
      </w:r>
    </w:p>
    <w:p w:rsidR="00A94F2A" w:rsidRPr="00A94F2A" w:rsidRDefault="00A94F2A" w:rsidP="00A94F2A">
      <w:pPr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b/>
          <w:bCs/>
          <w:color w:val="252525"/>
          <w:sz w:val="29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A94F2A">
        <w:rPr>
          <w:rFonts w:ascii="PT-Astra-Sans-Regular" w:hAnsi="PT-Astra-Sans-Regular"/>
          <w:b/>
          <w:bCs/>
          <w:color w:val="252525"/>
          <w:sz w:val="29"/>
          <w:szCs w:val="29"/>
        </w:rPr>
        <w:br/>
      </w:r>
      <w:r w:rsidRPr="00A94F2A">
        <w:rPr>
          <w:rFonts w:ascii="PT-Astra-Sans-Regular" w:hAnsi="PT-Astra-Sans-Regular"/>
          <w:b/>
          <w:bCs/>
          <w:color w:val="252525"/>
          <w:sz w:val="29"/>
        </w:rPr>
        <w:t>в 2021 году (за отчетный 2020 год)</w:t>
      </w:r>
    </w:p>
    <w:p w:rsidR="00A94F2A" w:rsidRPr="00A94F2A" w:rsidRDefault="00A94F2A" w:rsidP="00A94F2A">
      <w:pPr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b/>
          <w:bCs/>
          <w:color w:val="252525"/>
          <w:sz w:val="29"/>
        </w:rPr>
        <w:t> </w:t>
      </w:r>
    </w:p>
    <w:p w:rsidR="00A94F2A" w:rsidRPr="00A94F2A" w:rsidRDefault="00A94F2A" w:rsidP="00A94F2A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В течение последних лет является устоявшейся практика подготовкиМинистерством труда и социальной защиты Российской Федерации ежегодно обновляемых Методических рекомендаций по вопросам представления сведений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о доходах, расходах, об имуществе и обязательствах имущественного характера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A94F2A" w:rsidRPr="00A94F2A" w:rsidRDefault="00A94F2A" w:rsidP="00A94F2A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Методические рекомендации для применения в ходе декларационной кампании 2021 года (за отчетный 2020 год) подготовлены Министерством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и иных заинтересованных федеральных государственных органов.</w:t>
      </w:r>
    </w:p>
    <w:p w:rsidR="00A94F2A" w:rsidRPr="00A94F2A" w:rsidRDefault="00A94F2A" w:rsidP="00A94F2A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lastRenderedPageBreak/>
        <w:t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Методические рекомендации обновлены с учетом положений Указа Президента Российской Федерации от 15 января 2020 г.№ 13 "О внесении изменений в некоторые акты Президента Российской Федерации" (необходимость использования СПО "Справки БК", предоставления СНИЛС).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В подпункте 3 пункта 60 Методических рекомендаций отмечено,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Подпункт 9 пункта 60 Методических рекомендаций дополнен ситуацией продажи имущества, находящегося в долевой собственности.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Также Методические рекомендации дополнены пунктами 61 и 65, касающимися мер социальной и иной поддержки, оказанной в связи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с распространением новой коронавирусной инфекции.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в соответствии с данным Указанием Банка России.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 xml:space="preserve">Методические рекомендации дополнены разделом "Представление сведений о цифровых финансовых активах, </w:t>
      </w:r>
      <w:r w:rsidRPr="00A94F2A">
        <w:rPr>
          <w:rFonts w:ascii="PT-Astra-Sans-Regular" w:hAnsi="PT-Astra-Sans-Regular"/>
          <w:color w:val="252525"/>
          <w:sz w:val="29"/>
          <w:szCs w:val="29"/>
        </w:rPr>
        <w:lastRenderedPageBreak/>
        <w:t>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от 10 декабря 2020 г.№ 778 "О мерах по реализации отдельных положений Федерального закона "О цифровых финансовых активах, цифровой валюте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и о внесении изменений в отдельные законодательные акты Российской Федерации".</w:t>
      </w:r>
    </w:p>
    <w:p w:rsidR="00A94F2A" w:rsidRPr="00A94F2A" w:rsidRDefault="00A94F2A" w:rsidP="00A94F2A">
      <w:pPr>
        <w:numPr>
          <w:ilvl w:val="0"/>
          <w:numId w:val="110"/>
        </w:numPr>
        <w:shd w:val="clear" w:color="auto" w:fill="FFFFFF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Положения Методических рекомендаций в целом актуализированы</w:t>
      </w:r>
      <w:r w:rsidRPr="00A94F2A">
        <w:rPr>
          <w:rFonts w:ascii="PT-Astra-Sans-Regular" w:hAnsi="PT-Astra-Sans-Regular"/>
          <w:color w:val="252525"/>
          <w:sz w:val="29"/>
          <w:szCs w:val="29"/>
        </w:rPr>
        <w:br/>
        <w:t>с учетом изменений нормативных правовых актов Российской Федерации.</w:t>
      </w:r>
    </w:p>
    <w:p w:rsidR="00A94F2A" w:rsidRPr="00A94F2A" w:rsidRDefault="00A94F2A" w:rsidP="00A94F2A">
      <w:pPr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 w:rsidRPr="00A94F2A"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A94F2A" w:rsidRDefault="003C7147" w:rsidP="00A94F2A"/>
    <w:sectPr w:rsidR="003C7147" w:rsidRPr="00A94F2A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06F"/>
    <w:multiLevelType w:val="multilevel"/>
    <w:tmpl w:val="DB4C9F6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B59FB"/>
    <w:multiLevelType w:val="multilevel"/>
    <w:tmpl w:val="856643F4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20105"/>
    <w:multiLevelType w:val="multilevel"/>
    <w:tmpl w:val="AA3A284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01F22"/>
    <w:multiLevelType w:val="multilevel"/>
    <w:tmpl w:val="00BA365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51E68"/>
    <w:multiLevelType w:val="multilevel"/>
    <w:tmpl w:val="48AECEE6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738E2"/>
    <w:multiLevelType w:val="multilevel"/>
    <w:tmpl w:val="07A8321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D5567"/>
    <w:multiLevelType w:val="multilevel"/>
    <w:tmpl w:val="52EECBD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82844"/>
    <w:multiLevelType w:val="multilevel"/>
    <w:tmpl w:val="EDC6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42F2A"/>
    <w:multiLevelType w:val="multilevel"/>
    <w:tmpl w:val="10BEA11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66381"/>
    <w:multiLevelType w:val="multilevel"/>
    <w:tmpl w:val="47D2AF9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91080"/>
    <w:multiLevelType w:val="multilevel"/>
    <w:tmpl w:val="441E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05691"/>
    <w:multiLevelType w:val="multilevel"/>
    <w:tmpl w:val="95AED7F2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2297F"/>
    <w:multiLevelType w:val="multilevel"/>
    <w:tmpl w:val="30185ED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471B2F"/>
    <w:multiLevelType w:val="multilevel"/>
    <w:tmpl w:val="26389E7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668D5"/>
    <w:multiLevelType w:val="multilevel"/>
    <w:tmpl w:val="0F86C418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1E37D8"/>
    <w:multiLevelType w:val="multilevel"/>
    <w:tmpl w:val="2A822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27E5A"/>
    <w:multiLevelType w:val="multilevel"/>
    <w:tmpl w:val="402A1AA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FA7B13"/>
    <w:multiLevelType w:val="multilevel"/>
    <w:tmpl w:val="BA70F1D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1D3819"/>
    <w:multiLevelType w:val="multilevel"/>
    <w:tmpl w:val="876A6C9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323A41"/>
    <w:multiLevelType w:val="multilevel"/>
    <w:tmpl w:val="20A0F806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9A3208"/>
    <w:multiLevelType w:val="multilevel"/>
    <w:tmpl w:val="5726C38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9D2276"/>
    <w:multiLevelType w:val="multilevel"/>
    <w:tmpl w:val="A8B0EB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DB6716"/>
    <w:multiLevelType w:val="multilevel"/>
    <w:tmpl w:val="FC46D600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9E32BF"/>
    <w:multiLevelType w:val="multilevel"/>
    <w:tmpl w:val="26B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4C6AA1"/>
    <w:multiLevelType w:val="multilevel"/>
    <w:tmpl w:val="EF82F0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5F5451"/>
    <w:multiLevelType w:val="multilevel"/>
    <w:tmpl w:val="F8A0C17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8677E"/>
    <w:multiLevelType w:val="multilevel"/>
    <w:tmpl w:val="583EC76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2263EE"/>
    <w:multiLevelType w:val="multilevel"/>
    <w:tmpl w:val="E646A8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7631C1"/>
    <w:multiLevelType w:val="multilevel"/>
    <w:tmpl w:val="F5CA0D4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B917C4"/>
    <w:multiLevelType w:val="multilevel"/>
    <w:tmpl w:val="02E67948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132256"/>
    <w:multiLevelType w:val="multilevel"/>
    <w:tmpl w:val="D58E4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451BF4"/>
    <w:multiLevelType w:val="multilevel"/>
    <w:tmpl w:val="4CF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761453"/>
    <w:multiLevelType w:val="multilevel"/>
    <w:tmpl w:val="E1C26C3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8F1460"/>
    <w:multiLevelType w:val="multilevel"/>
    <w:tmpl w:val="9EB65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036E06"/>
    <w:multiLevelType w:val="multilevel"/>
    <w:tmpl w:val="4904A75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1501FA"/>
    <w:multiLevelType w:val="multilevel"/>
    <w:tmpl w:val="087CBF0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1A195F"/>
    <w:multiLevelType w:val="multilevel"/>
    <w:tmpl w:val="2B4EB1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957137"/>
    <w:multiLevelType w:val="multilevel"/>
    <w:tmpl w:val="0FF6D64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500496"/>
    <w:multiLevelType w:val="multilevel"/>
    <w:tmpl w:val="2586DBB6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7E5EE2"/>
    <w:multiLevelType w:val="multilevel"/>
    <w:tmpl w:val="898E8BE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C46F95"/>
    <w:multiLevelType w:val="multilevel"/>
    <w:tmpl w:val="FCF00DA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7A203B"/>
    <w:multiLevelType w:val="multilevel"/>
    <w:tmpl w:val="7D4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F220B6"/>
    <w:multiLevelType w:val="multilevel"/>
    <w:tmpl w:val="7346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3E05D93"/>
    <w:multiLevelType w:val="multilevel"/>
    <w:tmpl w:val="327AF06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740195"/>
    <w:multiLevelType w:val="multilevel"/>
    <w:tmpl w:val="A062473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B9587F"/>
    <w:multiLevelType w:val="multilevel"/>
    <w:tmpl w:val="AA5041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2D0B69"/>
    <w:multiLevelType w:val="multilevel"/>
    <w:tmpl w:val="B952FBB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6A463B"/>
    <w:multiLevelType w:val="multilevel"/>
    <w:tmpl w:val="1B02605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70B58E6"/>
    <w:multiLevelType w:val="multilevel"/>
    <w:tmpl w:val="8C9E13E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4B5E92"/>
    <w:multiLevelType w:val="multilevel"/>
    <w:tmpl w:val="9CD4EB4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6725A6"/>
    <w:multiLevelType w:val="multilevel"/>
    <w:tmpl w:val="04105378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764430"/>
    <w:multiLevelType w:val="multilevel"/>
    <w:tmpl w:val="753864F6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F7743F"/>
    <w:multiLevelType w:val="multilevel"/>
    <w:tmpl w:val="C222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7F44EC"/>
    <w:multiLevelType w:val="multilevel"/>
    <w:tmpl w:val="9D4CF126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6368D4"/>
    <w:multiLevelType w:val="multilevel"/>
    <w:tmpl w:val="9C1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F961877"/>
    <w:multiLevelType w:val="multilevel"/>
    <w:tmpl w:val="A8B6DE0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FC765AE"/>
    <w:multiLevelType w:val="multilevel"/>
    <w:tmpl w:val="028E59E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FB3B11"/>
    <w:multiLevelType w:val="multilevel"/>
    <w:tmpl w:val="7ADA86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0CB733D"/>
    <w:multiLevelType w:val="multilevel"/>
    <w:tmpl w:val="9462DBFE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29805A3"/>
    <w:multiLevelType w:val="multilevel"/>
    <w:tmpl w:val="FA120E1E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183259"/>
    <w:multiLevelType w:val="multilevel"/>
    <w:tmpl w:val="82DCDA70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35D7B44"/>
    <w:multiLevelType w:val="multilevel"/>
    <w:tmpl w:val="5880A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1719D4"/>
    <w:multiLevelType w:val="multilevel"/>
    <w:tmpl w:val="2EEA4AE6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3B5906"/>
    <w:multiLevelType w:val="multilevel"/>
    <w:tmpl w:val="FAE6DC3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8218CB"/>
    <w:multiLevelType w:val="multilevel"/>
    <w:tmpl w:val="9A4028A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8E33AE"/>
    <w:multiLevelType w:val="multilevel"/>
    <w:tmpl w:val="8C82FBD4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BF832CA"/>
    <w:multiLevelType w:val="multilevel"/>
    <w:tmpl w:val="3744868C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9448EE"/>
    <w:multiLevelType w:val="multilevel"/>
    <w:tmpl w:val="35FA1CD2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F6B0A2A"/>
    <w:multiLevelType w:val="multilevel"/>
    <w:tmpl w:val="318AF58E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1AB5985"/>
    <w:multiLevelType w:val="multilevel"/>
    <w:tmpl w:val="29E8F5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7494870"/>
    <w:multiLevelType w:val="multilevel"/>
    <w:tmpl w:val="4C5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CC07D4"/>
    <w:multiLevelType w:val="multilevel"/>
    <w:tmpl w:val="FDD6BE8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98591F"/>
    <w:multiLevelType w:val="multilevel"/>
    <w:tmpl w:val="8EDE54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99A3296"/>
    <w:multiLevelType w:val="multilevel"/>
    <w:tmpl w:val="B45A7444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000312"/>
    <w:multiLevelType w:val="multilevel"/>
    <w:tmpl w:val="F68ACC90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C915FD9"/>
    <w:multiLevelType w:val="multilevel"/>
    <w:tmpl w:val="AB22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60490B"/>
    <w:multiLevelType w:val="multilevel"/>
    <w:tmpl w:val="E0C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1DF6586"/>
    <w:multiLevelType w:val="multilevel"/>
    <w:tmpl w:val="1C70614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872590"/>
    <w:multiLevelType w:val="multilevel"/>
    <w:tmpl w:val="5FC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FE572C"/>
    <w:multiLevelType w:val="multilevel"/>
    <w:tmpl w:val="0032BD74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5E21BB"/>
    <w:multiLevelType w:val="multilevel"/>
    <w:tmpl w:val="9A008AA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DD0A74"/>
    <w:multiLevelType w:val="multilevel"/>
    <w:tmpl w:val="72940856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2F4E06"/>
    <w:multiLevelType w:val="multilevel"/>
    <w:tmpl w:val="F5544A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6C6BAD"/>
    <w:multiLevelType w:val="multilevel"/>
    <w:tmpl w:val="5760517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77A7C88"/>
    <w:multiLevelType w:val="multilevel"/>
    <w:tmpl w:val="A2701286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78C3424"/>
    <w:multiLevelType w:val="multilevel"/>
    <w:tmpl w:val="F85A3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ED3563"/>
    <w:multiLevelType w:val="multilevel"/>
    <w:tmpl w:val="B9D21E24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8765507"/>
    <w:multiLevelType w:val="multilevel"/>
    <w:tmpl w:val="796C8406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CD2276"/>
    <w:multiLevelType w:val="multilevel"/>
    <w:tmpl w:val="9D487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B5C7D2F"/>
    <w:multiLevelType w:val="multilevel"/>
    <w:tmpl w:val="99F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F124A6"/>
    <w:multiLevelType w:val="multilevel"/>
    <w:tmpl w:val="655259B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D147062"/>
    <w:multiLevelType w:val="multilevel"/>
    <w:tmpl w:val="828A673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A400F4"/>
    <w:multiLevelType w:val="multilevel"/>
    <w:tmpl w:val="8BA0E56E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D178A0"/>
    <w:multiLevelType w:val="multilevel"/>
    <w:tmpl w:val="E4762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D97502"/>
    <w:multiLevelType w:val="multilevel"/>
    <w:tmpl w:val="189A3DF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C52F85"/>
    <w:multiLevelType w:val="multilevel"/>
    <w:tmpl w:val="9EEEAD14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370585F"/>
    <w:multiLevelType w:val="multilevel"/>
    <w:tmpl w:val="1DB886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C62E29"/>
    <w:multiLevelType w:val="multilevel"/>
    <w:tmpl w:val="3EF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017C7D"/>
    <w:multiLevelType w:val="multilevel"/>
    <w:tmpl w:val="1D0C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186CF6"/>
    <w:multiLevelType w:val="multilevel"/>
    <w:tmpl w:val="C4EAE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DA4890"/>
    <w:multiLevelType w:val="multilevel"/>
    <w:tmpl w:val="E2CC5DF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2C087C"/>
    <w:multiLevelType w:val="multilevel"/>
    <w:tmpl w:val="5BD0BD58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9BF74A2"/>
    <w:multiLevelType w:val="multilevel"/>
    <w:tmpl w:val="8BA0F8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D83022"/>
    <w:multiLevelType w:val="multilevel"/>
    <w:tmpl w:val="752A3D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8624A3"/>
    <w:multiLevelType w:val="multilevel"/>
    <w:tmpl w:val="789C990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4D5612"/>
    <w:multiLevelType w:val="multilevel"/>
    <w:tmpl w:val="81D6948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78319D"/>
    <w:multiLevelType w:val="multilevel"/>
    <w:tmpl w:val="2D322C3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F566CE9"/>
    <w:multiLevelType w:val="multilevel"/>
    <w:tmpl w:val="D1A07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A53DAA"/>
    <w:multiLevelType w:val="multilevel"/>
    <w:tmpl w:val="A6B4BA3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CF096D"/>
    <w:multiLevelType w:val="multilevel"/>
    <w:tmpl w:val="A446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09"/>
  </w:num>
  <w:num w:numId="3">
    <w:abstractNumId w:val="10"/>
  </w:num>
  <w:num w:numId="4">
    <w:abstractNumId w:val="75"/>
  </w:num>
  <w:num w:numId="5">
    <w:abstractNumId w:val="54"/>
  </w:num>
  <w:num w:numId="6">
    <w:abstractNumId w:val="93"/>
  </w:num>
  <w:num w:numId="7">
    <w:abstractNumId w:val="85"/>
  </w:num>
  <w:num w:numId="8">
    <w:abstractNumId w:val="15"/>
  </w:num>
  <w:num w:numId="9">
    <w:abstractNumId w:val="30"/>
  </w:num>
  <w:num w:numId="10">
    <w:abstractNumId w:val="31"/>
  </w:num>
  <w:num w:numId="11">
    <w:abstractNumId w:val="107"/>
  </w:num>
  <w:num w:numId="12">
    <w:abstractNumId w:val="99"/>
  </w:num>
  <w:num w:numId="13">
    <w:abstractNumId w:val="88"/>
  </w:num>
  <w:num w:numId="14">
    <w:abstractNumId w:val="41"/>
  </w:num>
  <w:num w:numId="15">
    <w:abstractNumId w:val="76"/>
  </w:num>
  <w:num w:numId="16">
    <w:abstractNumId w:val="82"/>
  </w:num>
  <w:num w:numId="17">
    <w:abstractNumId w:val="78"/>
  </w:num>
  <w:num w:numId="18">
    <w:abstractNumId w:val="69"/>
  </w:num>
  <w:num w:numId="19">
    <w:abstractNumId w:val="33"/>
  </w:num>
  <w:num w:numId="20">
    <w:abstractNumId w:val="21"/>
  </w:num>
  <w:num w:numId="21">
    <w:abstractNumId w:val="72"/>
  </w:num>
  <w:num w:numId="22">
    <w:abstractNumId w:val="102"/>
  </w:num>
  <w:num w:numId="23">
    <w:abstractNumId w:val="24"/>
  </w:num>
  <w:num w:numId="24">
    <w:abstractNumId w:val="103"/>
  </w:num>
  <w:num w:numId="25">
    <w:abstractNumId w:val="36"/>
  </w:num>
  <w:num w:numId="26">
    <w:abstractNumId w:val="27"/>
  </w:num>
  <w:num w:numId="27">
    <w:abstractNumId w:val="45"/>
  </w:num>
  <w:num w:numId="28">
    <w:abstractNumId w:val="52"/>
  </w:num>
  <w:num w:numId="29">
    <w:abstractNumId w:val="105"/>
  </w:num>
  <w:num w:numId="30">
    <w:abstractNumId w:val="57"/>
  </w:num>
  <w:num w:numId="31">
    <w:abstractNumId w:val="46"/>
  </w:num>
  <w:num w:numId="32">
    <w:abstractNumId w:val="17"/>
  </w:num>
  <w:num w:numId="33">
    <w:abstractNumId w:val="32"/>
  </w:num>
  <w:num w:numId="34">
    <w:abstractNumId w:val="47"/>
  </w:num>
  <w:num w:numId="35">
    <w:abstractNumId w:val="37"/>
  </w:num>
  <w:num w:numId="36">
    <w:abstractNumId w:val="96"/>
  </w:num>
  <w:num w:numId="37">
    <w:abstractNumId w:val="2"/>
  </w:num>
  <w:num w:numId="38">
    <w:abstractNumId w:val="28"/>
  </w:num>
  <w:num w:numId="39">
    <w:abstractNumId w:val="26"/>
  </w:num>
  <w:num w:numId="40">
    <w:abstractNumId w:val="12"/>
  </w:num>
  <w:num w:numId="41">
    <w:abstractNumId w:val="83"/>
  </w:num>
  <w:num w:numId="42">
    <w:abstractNumId w:val="108"/>
  </w:num>
  <w:num w:numId="43">
    <w:abstractNumId w:val="89"/>
  </w:num>
  <w:num w:numId="44">
    <w:abstractNumId w:val="7"/>
  </w:num>
  <w:num w:numId="45">
    <w:abstractNumId w:val="97"/>
  </w:num>
  <w:num w:numId="46">
    <w:abstractNumId w:val="5"/>
  </w:num>
  <w:num w:numId="47">
    <w:abstractNumId w:val="3"/>
  </w:num>
  <w:num w:numId="48">
    <w:abstractNumId w:val="80"/>
  </w:num>
  <w:num w:numId="49">
    <w:abstractNumId w:val="77"/>
  </w:num>
  <w:num w:numId="50">
    <w:abstractNumId w:val="13"/>
  </w:num>
  <w:num w:numId="51">
    <w:abstractNumId w:val="20"/>
  </w:num>
  <w:num w:numId="52">
    <w:abstractNumId w:val="40"/>
  </w:num>
  <w:num w:numId="53">
    <w:abstractNumId w:val="11"/>
  </w:num>
  <w:num w:numId="54">
    <w:abstractNumId w:val="106"/>
  </w:num>
  <w:num w:numId="55">
    <w:abstractNumId w:val="48"/>
  </w:num>
  <w:num w:numId="56">
    <w:abstractNumId w:val="16"/>
  </w:num>
  <w:num w:numId="57">
    <w:abstractNumId w:val="9"/>
  </w:num>
  <w:num w:numId="58">
    <w:abstractNumId w:val="18"/>
  </w:num>
  <w:num w:numId="59">
    <w:abstractNumId w:val="90"/>
  </w:num>
  <w:num w:numId="60">
    <w:abstractNumId w:val="71"/>
  </w:num>
  <w:num w:numId="61">
    <w:abstractNumId w:val="104"/>
  </w:num>
  <w:num w:numId="62">
    <w:abstractNumId w:val="6"/>
  </w:num>
  <w:num w:numId="63">
    <w:abstractNumId w:val="81"/>
  </w:num>
  <w:num w:numId="64">
    <w:abstractNumId w:val="8"/>
  </w:num>
  <w:num w:numId="65">
    <w:abstractNumId w:val="59"/>
  </w:num>
  <w:num w:numId="66">
    <w:abstractNumId w:val="94"/>
  </w:num>
  <w:num w:numId="67">
    <w:abstractNumId w:val="58"/>
  </w:num>
  <w:num w:numId="68">
    <w:abstractNumId w:val="22"/>
  </w:num>
  <w:num w:numId="69">
    <w:abstractNumId w:val="56"/>
  </w:num>
  <w:num w:numId="70">
    <w:abstractNumId w:val="38"/>
  </w:num>
  <w:num w:numId="71">
    <w:abstractNumId w:val="53"/>
  </w:num>
  <w:num w:numId="72">
    <w:abstractNumId w:val="91"/>
  </w:num>
  <w:num w:numId="73">
    <w:abstractNumId w:val="73"/>
  </w:num>
  <w:num w:numId="74">
    <w:abstractNumId w:val="92"/>
  </w:num>
  <w:num w:numId="75">
    <w:abstractNumId w:val="29"/>
  </w:num>
  <w:num w:numId="76">
    <w:abstractNumId w:val="39"/>
  </w:num>
  <w:num w:numId="77">
    <w:abstractNumId w:val="19"/>
  </w:num>
  <w:num w:numId="78">
    <w:abstractNumId w:val="61"/>
  </w:num>
  <w:num w:numId="79">
    <w:abstractNumId w:val="64"/>
  </w:num>
  <w:num w:numId="80">
    <w:abstractNumId w:val="25"/>
  </w:num>
  <w:num w:numId="81">
    <w:abstractNumId w:val="34"/>
  </w:num>
  <w:num w:numId="82">
    <w:abstractNumId w:val="67"/>
  </w:num>
  <w:num w:numId="83">
    <w:abstractNumId w:val="95"/>
  </w:num>
  <w:num w:numId="84">
    <w:abstractNumId w:val="60"/>
  </w:num>
  <w:num w:numId="85">
    <w:abstractNumId w:val="66"/>
  </w:num>
  <w:num w:numId="86">
    <w:abstractNumId w:val="4"/>
  </w:num>
  <w:num w:numId="87">
    <w:abstractNumId w:val="79"/>
  </w:num>
  <w:num w:numId="88">
    <w:abstractNumId w:val="70"/>
  </w:num>
  <w:num w:numId="89">
    <w:abstractNumId w:val="35"/>
  </w:num>
  <w:num w:numId="90">
    <w:abstractNumId w:val="86"/>
  </w:num>
  <w:num w:numId="91">
    <w:abstractNumId w:val="68"/>
  </w:num>
  <w:num w:numId="92">
    <w:abstractNumId w:val="101"/>
  </w:num>
  <w:num w:numId="93">
    <w:abstractNumId w:val="43"/>
  </w:num>
  <w:num w:numId="94">
    <w:abstractNumId w:val="50"/>
  </w:num>
  <w:num w:numId="95">
    <w:abstractNumId w:val="51"/>
  </w:num>
  <w:num w:numId="96">
    <w:abstractNumId w:val="87"/>
  </w:num>
  <w:num w:numId="97">
    <w:abstractNumId w:val="55"/>
  </w:num>
  <w:num w:numId="98">
    <w:abstractNumId w:val="49"/>
  </w:num>
  <w:num w:numId="99">
    <w:abstractNumId w:val="62"/>
  </w:num>
  <w:num w:numId="100">
    <w:abstractNumId w:val="84"/>
  </w:num>
  <w:num w:numId="101">
    <w:abstractNumId w:val="100"/>
  </w:num>
  <w:num w:numId="102">
    <w:abstractNumId w:val="63"/>
  </w:num>
  <w:num w:numId="103">
    <w:abstractNumId w:val="1"/>
  </w:num>
  <w:num w:numId="104">
    <w:abstractNumId w:val="44"/>
  </w:num>
  <w:num w:numId="105">
    <w:abstractNumId w:val="0"/>
  </w:num>
  <w:num w:numId="106">
    <w:abstractNumId w:val="65"/>
  </w:num>
  <w:num w:numId="107">
    <w:abstractNumId w:val="74"/>
  </w:num>
  <w:num w:numId="108">
    <w:abstractNumId w:val="14"/>
  </w:num>
  <w:num w:numId="109">
    <w:abstractNumId w:val="23"/>
  </w:num>
  <w:num w:numId="110">
    <w:abstractNumId w:val="98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31EA5"/>
    <w:rsid w:val="002A0321"/>
    <w:rsid w:val="00370241"/>
    <w:rsid w:val="003C7147"/>
    <w:rsid w:val="00737A78"/>
    <w:rsid w:val="00931EA5"/>
    <w:rsid w:val="00A9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A94F2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931EA5"/>
    <w:rPr>
      <w:szCs w:val="24"/>
    </w:rPr>
  </w:style>
  <w:style w:type="character" w:styleId="a5">
    <w:name w:val="Strong"/>
    <w:basedOn w:val="a0"/>
    <w:uiPriority w:val="22"/>
    <w:qFormat/>
    <w:rsid w:val="00931EA5"/>
    <w:rPr>
      <w:b/>
      <w:bCs/>
    </w:rPr>
  </w:style>
  <w:style w:type="character" w:styleId="a6">
    <w:name w:val="Hyperlink"/>
    <w:basedOn w:val="a0"/>
    <w:uiPriority w:val="99"/>
    <w:semiHidden/>
    <w:unhideWhenUsed/>
    <w:rsid w:val="00931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1EA5"/>
    <w:rPr>
      <w:color w:val="800080"/>
      <w:u w:val="single"/>
    </w:rPr>
  </w:style>
  <w:style w:type="character" w:customStyle="1" w:styleId="icon-chevron-left">
    <w:name w:val="icon-chevron-left"/>
    <w:basedOn w:val="a0"/>
    <w:rsid w:val="00931EA5"/>
  </w:style>
  <w:style w:type="character" w:customStyle="1" w:styleId="10">
    <w:name w:val="Заголовок 1 Знак"/>
    <w:basedOn w:val="a0"/>
    <w:link w:val="1"/>
    <w:uiPriority w:val="9"/>
    <w:rsid w:val="00A94F2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A94F2A"/>
  </w:style>
  <w:style w:type="character" w:customStyle="1" w:styleId="published">
    <w:name w:val="published"/>
    <w:basedOn w:val="a0"/>
    <w:rsid w:val="00A94F2A"/>
  </w:style>
  <w:style w:type="character" w:customStyle="1" w:styleId="hits">
    <w:name w:val="hits"/>
    <w:basedOn w:val="a0"/>
    <w:rsid w:val="00A94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2023-12-17T11:43:00Z</dcterms:created>
  <dcterms:modified xsi:type="dcterms:W3CDTF">2023-12-17T11:43:00Z</dcterms:modified>
</cp:coreProperties>
</file>