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36" w:rsidRPr="00156136" w:rsidRDefault="00156136" w:rsidP="00156136">
      <w:pPr>
        <w:shd w:val="clear" w:color="auto" w:fill="FFFFFF"/>
        <w:spacing w:before="0" w:beforeAutospacing="0"/>
        <w:outlineLvl w:val="0"/>
        <w:rPr>
          <w:rFonts w:ascii="Arial" w:hAnsi="Arial" w:cs="Arial"/>
          <w:color w:val="252525"/>
          <w:kern w:val="36"/>
          <w:sz w:val="48"/>
          <w:szCs w:val="48"/>
        </w:rPr>
      </w:pPr>
      <w:r w:rsidRPr="00156136">
        <w:rPr>
          <w:rFonts w:ascii="Arial" w:hAnsi="Arial" w:cs="Arial"/>
          <w:color w:val="252525"/>
          <w:kern w:val="36"/>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156136" w:rsidRPr="00156136" w:rsidRDefault="00156136" w:rsidP="00156136">
      <w:pPr>
        <w:shd w:val="clear" w:color="auto" w:fill="FFFFFF"/>
        <w:spacing w:before="0" w:beforeAutospacing="0" w:after="0" w:afterAutospacing="0"/>
        <w:rPr>
          <w:rFonts w:ascii="PT-Astra-Sans-Regular" w:hAnsi="PT-Astra-Sans-Regular"/>
          <w:color w:val="252525"/>
          <w:sz w:val="29"/>
          <w:szCs w:val="29"/>
        </w:rPr>
      </w:pPr>
      <w:r w:rsidRPr="00156136">
        <w:rPr>
          <w:rFonts w:ascii="PT-Astra-Sans-Regular" w:hAnsi="PT-Astra-Sans-Regular"/>
          <w:color w:val="252525"/>
          <w:sz w:val="29"/>
        </w:rPr>
        <w:t>Методические материалы 15 июля 2019  Просмотров: 842</w:t>
      </w:r>
    </w:p>
    <w:p w:rsidR="00156136" w:rsidRPr="00156136" w:rsidRDefault="00156136" w:rsidP="00156136">
      <w:pPr>
        <w:shd w:val="clear" w:color="auto" w:fill="FFFFFF"/>
        <w:spacing w:before="0" w:beforeAutospacing="0"/>
        <w:jc w:val="center"/>
        <w:rPr>
          <w:rFonts w:ascii="PT-Astra-Sans-Regular" w:hAnsi="PT-Astra-Sans-Regular"/>
          <w:color w:val="252525"/>
          <w:sz w:val="29"/>
          <w:szCs w:val="29"/>
        </w:rPr>
      </w:pPr>
      <w:r w:rsidRPr="00156136">
        <w:rPr>
          <w:rFonts w:ascii="PT-Astra-Sans-Regular" w:hAnsi="PT-Astra-Sans-Regular"/>
          <w:b/>
          <w:bCs/>
          <w:color w:val="252525"/>
          <w:szCs w:val="24"/>
        </w:rPr>
        <w:t>МЕТОДИЧЕСКИЕ РЕКОМЕНДАЦИИ</w:t>
      </w:r>
    </w:p>
    <w:p w:rsidR="00156136" w:rsidRPr="00156136" w:rsidRDefault="00156136" w:rsidP="00156136">
      <w:pPr>
        <w:shd w:val="clear" w:color="auto" w:fill="FFFFFF"/>
        <w:spacing w:before="0" w:beforeAutospacing="0"/>
        <w:jc w:val="center"/>
        <w:rPr>
          <w:rFonts w:ascii="PT-Astra-Sans-Regular" w:hAnsi="PT-Astra-Sans-Regular"/>
          <w:color w:val="252525"/>
          <w:sz w:val="29"/>
          <w:szCs w:val="29"/>
        </w:rPr>
      </w:pPr>
      <w:r w:rsidRPr="00156136">
        <w:rPr>
          <w:rFonts w:ascii="PT-Astra-Sans-Regular" w:hAnsi="PT-Astra-Sans-Regular"/>
          <w:b/>
          <w:bCs/>
          <w:color w:val="252525"/>
          <w:szCs w:val="24"/>
        </w:rPr>
        <w:t>ПО ВОПРОСАМ ПРЕДСТАВЛЕНИЯ СВЕДЕНИЙ</w:t>
      </w:r>
    </w:p>
    <w:p w:rsidR="00156136" w:rsidRPr="00156136" w:rsidRDefault="00156136" w:rsidP="00156136">
      <w:pPr>
        <w:shd w:val="clear" w:color="auto" w:fill="FFFFFF"/>
        <w:spacing w:before="0" w:beforeAutospacing="0"/>
        <w:jc w:val="center"/>
        <w:rPr>
          <w:rFonts w:ascii="PT-Astra-Sans-Regular" w:hAnsi="PT-Astra-Sans-Regular"/>
          <w:color w:val="252525"/>
          <w:sz w:val="29"/>
          <w:szCs w:val="29"/>
        </w:rPr>
      </w:pPr>
      <w:r w:rsidRPr="00156136">
        <w:rPr>
          <w:rFonts w:ascii="PT-Astra-Sans-Regular" w:hAnsi="PT-Astra-Sans-Regular"/>
          <w:b/>
          <w:bCs/>
          <w:color w:val="252525"/>
          <w:szCs w:val="24"/>
        </w:rPr>
        <w:t>О ДОХОДАХ, РАСХОДАХ, ОБ ИМУЩЕСТВЕ И ОБЯЗАТЕЛЬСТВАХ ИМУЩЕСТВЕННОГО ХАРАКТЕРА</w:t>
      </w:r>
    </w:p>
    <w:p w:rsidR="00156136" w:rsidRPr="00156136" w:rsidRDefault="00156136" w:rsidP="00156136">
      <w:pPr>
        <w:shd w:val="clear" w:color="auto" w:fill="FFFFFF"/>
        <w:spacing w:before="0" w:beforeAutospacing="0"/>
        <w:jc w:val="center"/>
        <w:rPr>
          <w:rFonts w:ascii="PT-Astra-Sans-Regular" w:hAnsi="PT-Astra-Sans-Regular"/>
          <w:color w:val="252525"/>
          <w:sz w:val="29"/>
          <w:szCs w:val="29"/>
        </w:rPr>
      </w:pPr>
      <w:r w:rsidRPr="00156136">
        <w:rPr>
          <w:rFonts w:ascii="PT-Astra-Sans-Regular" w:hAnsi="PT-Astra-Sans-Regular"/>
          <w:b/>
          <w:bCs/>
          <w:color w:val="252525"/>
          <w:szCs w:val="24"/>
        </w:rPr>
        <w:t>И ЗАПОЛНЕНИЯ СООТВЕТСТВУЮЩЕЙ ФОРМЫ СПРАВКИ</w:t>
      </w:r>
    </w:p>
    <w:p w:rsidR="00156136" w:rsidRPr="00156136" w:rsidRDefault="00156136" w:rsidP="00156136">
      <w:pPr>
        <w:shd w:val="clear" w:color="auto" w:fill="FFFFFF"/>
        <w:spacing w:before="0" w:beforeAutospacing="0"/>
        <w:jc w:val="center"/>
        <w:rPr>
          <w:rFonts w:ascii="PT-Astra-Sans-Regular" w:hAnsi="PT-Astra-Sans-Regular"/>
          <w:color w:val="252525"/>
          <w:sz w:val="29"/>
          <w:szCs w:val="29"/>
        </w:rPr>
      </w:pPr>
      <w:r w:rsidRPr="00156136">
        <w:rPr>
          <w:rFonts w:ascii="PT-Astra-Sans-Regular" w:hAnsi="PT-Astra-Sans-Regular"/>
          <w:color w:val="252525"/>
          <w:szCs w:val="24"/>
        </w:rPr>
        <w:t>в 2019 году (за отчетный 2018 год)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w:t>
      </w:r>
      <w:r w:rsidRPr="00156136">
        <w:rPr>
          <w:rFonts w:ascii="PT-Astra-Sans-Regular" w:hAnsi="PT-Astra-Sans-Regular"/>
          <w:color w:val="252525"/>
          <w:szCs w:val="24"/>
        </w:rPr>
        <w:lastRenderedPageBreak/>
        <w:t>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1. Представление сведений о доходах, расходах,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об имуществе и обязательствах имущественного характера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Лица, обязанные представлять сведения о доходах, расходах, об имуществе и обязательствах имущественного характера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 иными лицами в соответствии с законодательством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любой должности государственной службы (поступающим на службу);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должности муниципальной службы, включенной в перечни, утвержденные нормативными правовыми актами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 должности финансового уполномоченного, руководителя службы обеспечения деятельности финансового уполномоченного;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 иных должностей в соответствии с законодательством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 557 «Об </w:t>
      </w:r>
      <w:r w:rsidRPr="00156136">
        <w:rPr>
          <w:rFonts w:ascii="PT-Astra-Sans-Regular" w:hAnsi="PT-Astra-Sans-Regular"/>
          <w:color w:val="252525"/>
          <w:szCs w:val="24"/>
        </w:rPr>
        <w:lastRenderedPageBreak/>
        <w:t>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Обязательность представления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Сроки представления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 Служащие (работники) представляют сведения ежегодно в следующие сроки: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8. Сведения могут быть представлены служащим (работником) в любое время, начиная с 1 января года, следующего за отчетным.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Лица, в отношении которых представляются сведения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 Сведения представляются отдельно: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в отношении служащего (работника),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в отношении его супруги (супруга),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в отношении каждого несовершеннолетнего ребенка служащего (работника).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12. </w:t>
      </w:r>
      <w:r w:rsidRPr="00156136">
        <w:rPr>
          <w:rFonts w:ascii="PT-Astra-Sans-Regular" w:hAnsi="PT-Astra-Sans-Regular"/>
          <w:b/>
          <w:bCs/>
          <w:color w:val="252525"/>
          <w:szCs w:val="24"/>
        </w:rPr>
        <w:t>Отчетный период и отчетная дата представления сведений</w:t>
      </w:r>
      <w:r w:rsidRPr="00156136">
        <w:rPr>
          <w:rFonts w:ascii="PT-Astra-Sans-Regular" w:hAnsi="PT-Astra-Sans-Regular"/>
          <w:color w:val="252525"/>
          <w:szCs w:val="24"/>
        </w:rPr>
        <w:t>, установленные для граждан и служащих (работников), различны: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гражданин представляет: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служащий (работник) представляет ежегодно: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Замещение конкретной должности на отчетную дату как основание для представления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 Служащий (работник) должен представить сведения, если по состоянию на 31 декабря отчетного года: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замещаемая им должность была включена в соответствующий перечень должностей, а сам служащий (работник) замещал указанную должность;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 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Определение круга лиц (членов семьи), в отношении которых необходимо представить сведения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Супруги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Перечень ситуаций и рекомендуемые действия (таблица № 1):</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6"/>
        <w:gridCol w:w="5995"/>
      </w:tblGrid>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служащий (работник) представляет сведения в 2019 году (за отчетный 2018 г.)</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заключен в органах записи актов гражданского состояния (далее – ЗАГС) в ноябре 2018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заключен в ЗАГСе в марте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заключен 1 февраля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супруги представляются, поскольку по состоянию на отчетную дату (1 августа 2019 года) гражданин состоял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заключен 2 августа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 xml:space="preserve">сведения в отношении супруги не представляются, поскольку по состоянию на отчетную дату (1 августа </w:t>
            </w:r>
            <w:r w:rsidRPr="00156136">
              <w:rPr>
                <w:szCs w:val="24"/>
              </w:rPr>
              <w:lastRenderedPageBreak/>
              <w:t>2019 года) гражданин еще не вступил в брак</w:t>
            </w:r>
          </w:p>
        </w:tc>
      </w:tr>
    </w:tbl>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Перечень ситуаций и рекомендуемые действия (таблица № 2)</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tbl>
      <w:tblPr>
        <w:tblW w:w="115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8"/>
        <w:gridCol w:w="7364"/>
      </w:tblGrid>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служащий (работник) представляет сведения в 2019 году (за отчетный 2018 г.)</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был расторгнут в ЗАГСе в ноябре 2018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Окончательное решение о расторжении брака было принято судом 12 декабря 2018 года и вступило в законную силу 12 января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был расторгнут в ЗАГСе в марте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был расторгнут в ЗАГСе 1 июля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Брак был расторгнут в ЗАГСе 2 августа 2019 года</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156136" w:rsidRPr="00156136" w:rsidTr="00156136">
        <w:tc>
          <w:tcPr>
            <w:tcW w:w="340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Окончательное решение о расторжении брака было принято судом 4 июля 2019 года и вступило в законную силу 4 августа 2019 г.</w:t>
            </w:r>
          </w:p>
        </w:tc>
        <w:tc>
          <w:tcPr>
            <w:tcW w:w="606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Несовершеннолетние дети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Перечень ситуаций и рекомендуемые действия (таблица № 3):</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1"/>
        <w:gridCol w:w="6840"/>
      </w:tblGrid>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служащий (работник) представляет сведения в 2019 году (за отчетный 2018 г.)</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Дочери служащего (работника) 21 мая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Дочери служащего (работника) 30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Дочери служащего (работника) 31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156136" w:rsidRPr="00156136" w:rsidTr="00156136">
        <w:tc>
          <w:tcPr>
            <w:tcW w:w="9465" w:type="dxa"/>
            <w:gridSpan w:val="2"/>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Пример: гражданин представляет в сентябре 2019 года сведения в связи с назначением на должность. Отчетной датой является 1 августа 2019 года</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Сыну гражданина 5 мая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Сыну гражданина 1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156136" w:rsidRPr="00156136" w:rsidTr="00156136">
        <w:tc>
          <w:tcPr>
            <w:tcW w:w="2550"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Сыну гражданина 17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Уточнение представленных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Рекомендуемые действия при невозможности представить сведения в отношении члена семьи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31. Заявление должно быть направлено до истечения срока, установленного для представления служащим (работником) сведений.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Заявление подается (таблица № 4):</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31"/>
        <w:gridCol w:w="6040"/>
      </w:tblGrid>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В Управление Президента Российской Федерации по вопросам противодействия коррупции</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В Департамент государственной службы и кадров Правительства Российской Федерации</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В подразделение кадровой службы федерального государственного органа по профилактике коррупционных и иных правонарушений</w:t>
            </w:r>
          </w:p>
          <w:p w:rsidR="00156136" w:rsidRPr="00156136" w:rsidRDefault="00156136" w:rsidP="00156136">
            <w:pPr>
              <w:spacing w:before="0" w:beforeAutospacing="0"/>
              <w:rPr>
                <w:szCs w:val="24"/>
              </w:rPr>
            </w:pPr>
            <w:r w:rsidRPr="00156136">
              <w:rPr>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w:t>
            </w:r>
            <w:r w:rsidRPr="00156136">
              <w:rPr>
                <w:szCs w:val="24"/>
              </w:rPr>
              <w:lastRenderedPageBreak/>
              <w:t>федерального закона</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lastRenderedPageBreak/>
              <w:t>В подразделение по профилактике коррупционных и иных правонарушений Центрального банка Российской Федерации</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156136" w:rsidRPr="00156136" w:rsidTr="00156136">
        <w:tc>
          <w:tcPr>
            <w:tcW w:w="337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19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32. Для служащих (работников) право направить заявление о невозможности представить сведения о </w:t>
      </w:r>
      <w:r w:rsidRPr="00156136">
        <w:rPr>
          <w:rFonts w:ascii="PT-Astra-Sans-Regular" w:hAnsi="PT-Astra-Sans-Regular"/>
          <w:b/>
          <w:bCs/>
          <w:color w:val="252525"/>
          <w:szCs w:val="24"/>
        </w:rPr>
        <w:t>своих</w:t>
      </w:r>
      <w:r w:rsidRPr="00156136">
        <w:rPr>
          <w:rFonts w:ascii="PT-Astra-Sans-Regular" w:hAnsi="PT-Astra-Sans-Regular"/>
          <w:color w:val="252525"/>
          <w:szCs w:val="24"/>
        </w:rPr>
        <w:t> доходах, расходах, об имуществе и обязательствах имущественного характера законодательством не предусмотрено.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II. Заполнение справки о доходах, расходах, об имуществе и обязательствах имущественного характера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34.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ТИТУЛЬНЫЙ ЛИСТ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38. При заполнении титульного листа справки рекомендуется обратить внимание на следующее: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дата рождения (год рождения) указывается в соответствии с записью в документе, удостоверяющем личность;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заполнении справки лицом, замещающим муниципальную должность на непостоянной основе, указывается муниципальная должность;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1. СВЕДЕНИЯ О ДОХОДАХ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Доход по основному месту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Особенности заполнения данного раздела отдельными категориями лиц</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Доход от педагогической и научной деятельности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Доход от иной творческой деятельности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lastRenderedPageBreak/>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Доход от вкладов в банках и иных кредитных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51. Доход, полученный в иностранной валюте, указывается в рублях по курсу Банка России на дату получения дохода.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54. Не рекомендуется проводить какие-либо самостоятельные расчеты, поскольку вероятно возникновение различного рода ошибок.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Доход от ценных бумаг и долей участия в коммерческих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w:t>
      </w:r>
      <w:r w:rsidRPr="00156136">
        <w:rPr>
          <w:rFonts w:ascii="PT-Astra-Sans-Regular" w:hAnsi="PT-Astra-Sans-Regular"/>
          <w:color w:val="252525"/>
          <w:szCs w:val="24"/>
        </w:rPr>
        <w:lastRenderedPageBreak/>
        <w:t>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Иные доходы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58.В данной строке указываются доходы, которые не были отражены в строках 1-5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Так, например, в строке иные доходы могут быть указаны: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пенсия (при этом разные виды пенсий (по возрасту и пенсия военнослужащего) не следует суммировать);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стипендия;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w:t>
      </w:r>
      <w:r w:rsidRPr="00156136">
        <w:rPr>
          <w:rFonts w:ascii="PT-Astra-Sans-Regular" w:hAnsi="PT-Astra-Sans-Regular"/>
          <w:color w:val="252525"/>
          <w:szCs w:val="24"/>
        </w:rPr>
        <w:lastRenderedPageBreak/>
        <w:t>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 проценты по долговым обязательствам;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 денежные средства, полученные в порядке дарения или наследования;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16) возмещение вреда, причиненного увечьем или иным повреждением здоровья;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17) выплаты, связанные с гибелью (смертью), выплаченные наследникам;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23) выигрыши в лотереях, тотализаторах, конкурсах и иных играх;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24) выплаты членам профсоюзных организаций, полученные от данных профсоюзных организаций;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26) вознаграждение, полученное при осуществлении опеки или попечительства на возмездной основе;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28денежные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29) денежные средства, полученные в качестве оплаты услуг или товаров;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32) доход, полученный по договорам переуступки прав требования на строящиеся объекты недвижимости;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34) выплаченная ликвидационная стоимость ценных бумаг при ликвидации коммерческой организации;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35) денежные средства, полученные в связи с прощением долга служащему (работнику), его супруге (супругу) или несовершеннолетним детям;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36) иные аналогичные выплаты.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60. С учетом целей антикоррупционного законодательства в строке 6 «Иные доходы»</w:t>
      </w:r>
      <w:r w:rsidRPr="00156136">
        <w:rPr>
          <w:rFonts w:ascii="PT-Astra-Sans-Regular" w:hAnsi="PT-Astra-Sans-Regular"/>
          <w:b/>
          <w:bCs/>
          <w:color w:val="252525"/>
          <w:szCs w:val="24"/>
        </w:rPr>
        <w:t> не указываются </w:t>
      </w:r>
      <w:r w:rsidRPr="00156136">
        <w:rPr>
          <w:rFonts w:ascii="PT-Astra-Sans-Regular" w:hAnsi="PT-Astra-Sans-Regular"/>
          <w:color w:val="252525"/>
          <w:szCs w:val="24"/>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со служебными командировками;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с оплатой стоимости и (или) выдачи полагающегося натурального довольствия, а также выплатой денежных средств взамен этого довольствия;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с приобретением проездных документов для исполнения служебных (должностных) обязанностей;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с оплатой коммунальных и иных услуг, наймом жилого помещения;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 с внесением родительской платы за посещение дошкольного образовательного учреждения;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Также не указываются сведения о денежных средствах, полученных: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 в виде социального, имущественного, инвестиционного налогового вычета;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 от продажи различного вида подарочных сертификатов (карт), выпущенных предприятиями торговли;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 в качестве возврата налога на добавленную стоимость, уплаченного при совершении покупок за границей, по чекам Tax-free;</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 в качестве вознаграждения донорам за сданную кровь, ее компонентов (и иную помощь);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16) в качестве возмещения расходов на повышение профессионального уровня за счет средств представителя нанимателя (работодателя);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18) в связи с переводом денежных средств между банковскими счетами супругов и несовершеннолетних детей;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19) в связи с возвратом денежных средств по несостоявшемуся договору купли-продажи;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22)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2. СВЕДЕНИЯ О РАСХОДАХ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61. Данный раздел справки </w:t>
      </w:r>
      <w:r w:rsidRPr="00156136">
        <w:rPr>
          <w:rFonts w:ascii="PT-Astra-Sans-Regular" w:hAnsi="PT-Astra-Sans-Regular"/>
          <w:b/>
          <w:bCs/>
          <w:color w:val="252525"/>
          <w:szCs w:val="24"/>
        </w:rPr>
        <w:t>заполняется только</w:t>
      </w:r>
      <w:r w:rsidRPr="00156136">
        <w:rPr>
          <w:rFonts w:ascii="PT-Astra-Sans-Regular" w:hAnsi="PT-Astra-Sans-Regular"/>
          <w:color w:val="252525"/>
          <w:szCs w:val="24"/>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62. Граждане, поступающие на службу (работу), раздел «Сведения о расходах» не заполняют.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63. Заполнение данного раздела при отсутствии указанных в пункте 61 настоящих Методических рекомендаций оснований не является нарушением.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65. Для цели реализации пункта 61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67. Данный раздел </w:t>
      </w:r>
      <w:r w:rsidRPr="00156136">
        <w:rPr>
          <w:rFonts w:ascii="PT-Astra-Sans-Regular" w:hAnsi="PT-Astra-Sans-Regular"/>
          <w:b/>
          <w:bCs/>
          <w:color w:val="252525"/>
          <w:szCs w:val="24"/>
        </w:rPr>
        <w:t>не заполняется</w:t>
      </w:r>
      <w:r w:rsidRPr="00156136">
        <w:rPr>
          <w:rFonts w:ascii="PT-Astra-Sans-Regular" w:hAnsi="PT-Astra-Sans-Regular"/>
          <w:color w:val="252525"/>
          <w:szCs w:val="24"/>
        </w:rPr>
        <w:t> в следующих случаях: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68. При заполнении графы «</w:t>
      </w:r>
      <w:r w:rsidRPr="00156136">
        <w:rPr>
          <w:rFonts w:ascii="PT-Astra-Sans-Regular" w:hAnsi="PT-Astra-Sans-Regular"/>
          <w:b/>
          <w:bCs/>
          <w:color w:val="252525"/>
          <w:szCs w:val="24"/>
        </w:rPr>
        <w:t>Вид приобретенного имущества</w:t>
      </w:r>
      <w:r w:rsidRPr="00156136">
        <w:rPr>
          <w:rFonts w:ascii="PT-Astra-Sans-Regular" w:hAnsi="PT-Astra-Sans-Regular"/>
          <w:color w:val="252525"/>
          <w:szCs w:val="24"/>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69. При заполнении графы «</w:t>
      </w:r>
      <w:r w:rsidRPr="00156136">
        <w:rPr>
          <w:rFonts w:ascii="PT-Astra-Sans-Regular" w:hAnsi="PT-Astra-Sans-Regular"/>
          <w:b/>
          <w:bCs/>
          <w:color w:val="252525"/>
          <w:szCs w:val="24"/>
        </w:rPr>
        <w:t>Источник получения средств, за счет которых приобретено имущество</w:t>
      </w:r>
      <w:r w:rsidRPr="00156136">
        <w:rPr>
          <w:rFonts w:ascii="PT-Astra-Sans-Regular" w:hAnsi="PT-Astra-Sans-Regular"/>
          <w:color w:val="252525"/>
          <w:szCs w:val="24"/>
        </w:rPr>
        <w:t>» следует указывать наименование источника получения средств и размер полученного дохода по каждому из источников.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72. В графе </w:t>
      </w:r>
      <w:r w:rsidRPr="00156136">
        <w:rPr>
          <w:rFonts w:ascii="PT-Astra-Sans-Regular" w:hAnsi="PT-Astra-Sans-Regular"/>
          <w:b/>
          <w:bCs/>
          <w:color w:val="252525"/>
          <w:szCs w:val="24"/>
        </w:rPr>
        <w:t>«Основания приобретения имущества» </w:t>
      </w:r>
      <w:r w:rsidRPr="00156136">
        <w:rPr>
          <w:rFonts w:ascii="PT-Astra-Sans-Regular" w:hAnsi="PT-Astra-Sans-Regular"/>
          <w:color w:val="252525"/>
          <w:szCs w:val="24"/>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73. </w:t>
      </w:r>
      <w:r w:rsidRPr="00156136">
        <w:rPr>
          <w:rFonts w:ascii="PT-Astra-Sans-Regular" w:hAnsi="PT-Astra-Sans-Regular"/>
          <w:b/>
          <w:bCs/>
          <w:color w:val="252525"/>
          <w:szCs w:val="24"/>
        </w:rPr>
        <w:t>Особенности заполнения раздела «Сведения о расходах»</w:t>
      </w:r>
      <w:r w:rsidRPr="00156136">
        <w:rPr>
          <w:rFonts w:ascii="PT-Astra-Sans-Regular" w:hAnsi="PT-Astra-Sans-Regular"/>
          <w:color w:val="252525"/>
          <w:szCs w:val="24"/>
        </w:rPr>
        <w:t>:</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1) приобретение недвижимого имущества посредством участия в долевом строительстве.</w:t>
      </w:r>
      <w:r w:rsidRPr="00156136">
        <w:rPr>
          <w:rFonts w:ascii="PT-Astra-Sans-Regular" w:hAnsi="PT-Astra-Sans-Regular"/>
          <w:color w:val="252525"/>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w:t>
      </w:r>
      <w:r w:rsidRPr="00156136">
        <w:rPr>
          <w:rFonts w:ascii="PT-Astra-Sans-Regular" w:hAnsi="PT-Astra-Sans-Regular"/>
          <w:color w:val="252525"/>
          <w:szCs w:val="24"/>
        </w:rPr>
        <w:lastRenderedPageBreak/>
        <w:t>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2) приобретение недвижимого имущества посредством участия в кооперативе.</w:t>
      </w:r>
      <w:r w:rsidRPr="00156136">
        <w:rPr>
          <w:rFonts w:ascii="PT-Astra-Sans-Regular" w:hAnsi="PT-Astra-Sans-Regular"/>
          <w:color w:val="252525"/>
          <w:szCs w:val="24"/>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3) приобретение ценных бумаг.</w:t>
      </w:r>
      <w:r w:rsidRPr="00156136">
        <w:rPr>
          <w:rFonts w:ascii="PT-Astra-Sans-Regular" w:hAnsi="PT-Astra-Sans-Regular"/>
          <w:color w:val="252525"/>
          <w:szCs w:val="24"/>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3. СВЕДЕНИЯ ОБ ИМУЩЕСТВЕ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3.1 Недвижимое имущество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74.Понятие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w:t>
      </w:r>
      <w:r w:rsidRPr="00156136">
        <w:rPr>
          <w:rFonts w:ascii="PT-Astra-Sans-Regular" w:hAnsi="PT-Astra-Sans-Regular"/>
          <w:color w:val="252525"/>
          <w:szCs w:val="24"/>
        </w:rPr>
        <w:lastRenderedPageBreak/>
        <w:t>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Заполнение графы </w:t>
      </w:r>
      <w:r w:rsidRPr="00156136">
        <w:rPr>
          <w:rFonts w:ascii="PT-Astra-Sans-Regular" w:hAnsi="PT-Astra-Sans-Regular"/>
          <w:b/>
          <w:bCs/>
          <w:color w:val="252525"/>
          <w:szCs w:val="24"/>
        </w:rPr>
        <w:t>«Вид и наименование имущества»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79. При указании сведений о </w:t>
      </w:r>
      <w:r w:rsidRPr="00156136">
        <w:rPr>
          <w:rFonts w:ascii="PT-Astra-Sans-Regular" w:hAnsi="PT-Astra-Sans-Regular"/>
          <w:b/>
          <w:bCs/>
          <w:color w:val="252525"/>
          <w:szCs w:val="24"/>
        </w:rPr>
        <w:t>земельных участках</w:t>
      </w:r>
      <w:r w:rsidRPr="00156136">
        <w:rPr>
          <w:rFonts w:ascii="PT-Astra-Sans-Regular" w:hAnsi="PT-Astra-Sans-Regular"/>
          <w:color w:val="252525"/>
          <w:szCs w:val="24"/>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w:t>
      </w:r>
      <w:r w:rsidRPr="00156136">
        <w:rPr>
          <w:rFonts w:ascii="PT-Astra-Sans-Regular" w:hAnsi="PT-Astra-Sans-Regular"/>
          <w:color w:val="252525"/>
          <w:szCs w:val="24"/>
        </w:rPr>
        <w:lastRenderedPageBreak/>
        <w:t>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82. При наличии в собственности </w:t>
      </w:r>
      <w:r w:rsidRPr="00156136">
        <w:rPr>
          <w:rFonts w:ascii="PT-Astra-Sans-Regular" w:hAnsi="PT-Astra-Sans-Regular"/>
          <w:b/>
          <w:bCs/>
          <w:color w:val="252525"/>
          <w:szCs w:val="24"/>
        </w:rPr>
        <w:t>жилого или садового дома,</w:t>
      </w:r>
      <w:r w:rsidRPr="00156136">
        <w:rPr>
          <w:rFonts w:ascii="PT-Astra-Sans-Regular" w:hAnsi="PT-Astra-Sans-Regular"/>
          <w:color w:val="252525"/>
          <w:szCs w:val="24"/>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83. При заполнении пункта 3 «</w:t>
      </w:r>
      <w:r w:rsidRPr="00156136">
        <w:rPr>
          <w:rFonts w:ascii="PT-Astra-Sans-Regular" w:hAnsi="PT-Astra-Sans-Regular"/>
          <w:b/>
          <w:bCs/>
          <w:color w:val="252525"/>
          <w:szCs w:val="24"/>
        </w:rPr>
        <w:t>Квартиры</w:t>
      </w:r>
      <w:r w:rsidRPr="00156136">
        <w:rPr>
          <w:rFonts w:ascii="PT-Astra-Sans-Regular" w:hAnsi="PT-Astra-Sans-Regular"/>
          <w:color w:val="252525"/>
          <w:szCs w:val="24"/>
        </w:rPr>
        <w:t>» соответственно вносятся сведения о ней, например 2-комнатная квартира.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84. В строке 4 «</w:t>
      </w:r>
      <w:r w:rsidRPr="00156136">
        <w:rPr>
          <w:rFonts w:ascii="PT-Astra-Sans-Regular" w:hAnsi="PT-Astra-Sans-Regular"/>
          <w:b/>
          <w:bCs/>
          <w:color w:val="252525"/>
          <w:szCs w:val="24"/>
        </w:rPr>
        <w:t>Гаражи</w:t>
      </w:r>
      <w:r w:rsidRPr="00156136">
        <w:rPr>
          <w:rFonts w:ascii="PT-Astra-Sans-Regular" w:hAnsi="PT-Astra-Sans-Regular"/>
          <w:color w:val="252525"/>
          <w:szCs w:val="24"/>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85. В графе </w:t>
      </w:r>
      <w:r w:rsidRPr="00156136">
        <w:rPr>
          <w:rFonts w:ascii="PT-Astra-Sans-Regular" w:hAnsi="PT-Astra-Sans-Regular"/>
          <w:b/>
          <w:bCs/>
          <w:color w:val="252525"/>
          <w:szCs w:val="24"/>
        </w:rPr>
        <w:t>«Вид собственности»</w:t>
      </w:r>
      <w:r w:rsidRPr="00156136">
        <w:rPr>
          <w:rFonts w:ascii="PT-Astra-Sans-Regular" w:hAnsi="PT-Astra-Sans-Regular"/>
          <w:color w:val="252525"/>
          <w:szCs w:val="24"/>
        </w:rPr>
        <w:t> указывается вид собственности на имущество (индивидуальная, общая совместная, общая долевая).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88. </w:t>
      </w:r>
      <w:r w:rsidRPr="00156136">
        <w:rPr>
          <w:rFonts w:ascii="PT-Astra-Sans-Regular" w:hAnsi="PT-Astra-Sans-Regular"/>
          <w:b/>
          <w:bCs/>
          <w:color w:val="252525"/>
          <w:szCs w:val="24"/>
        </w:rPr>
        <w:t>Местонахождение (адрес)</w:t>
      </w:r>
      <w:r w:rsidRPr="00156136">
        <w:rPr>
          <w:rFonts w:ascii="PT-Astra-Sans-Regular" w:hAnsi="PT-Astra-Sans-Regular"/>
          <w:color w:val="252525"/>
          <w:szCs w:val="24"/>
        </w:rPr>
        <w:t> недвижимого имущества указывается согласно правоустанавливающим документам. При этом указывается: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субъект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район;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3) город, иной населенный пункт (село, поселок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улица (проспект, переулок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номер дома (владения, участка), корпуса (строения), квартиры.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Также рекомендуется указывать индекс.</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89. Если недвижимое имущество находится за рубежом, то указывается: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наименование государства;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населенный пункт (иная единица административно-территориального деления);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почтовый адрес.</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90. </w:t>
      </w:r>
      <w:r w:rsidRPr="00156136">
        <w:rPr>
          <w:rFonts w:ascii="PT-Astra-Sans-Regular" w:hAnsi="PT-Astra-Sans-Regular"/>
          <w:b/>
          <w:bCs/>
          <w:color w:val="252525"/>
          <w:szCs w:val="24"/>
        </w:rPr>
        <w:t>Площадь </w:t>
      </w:r>
      <w:r w:rsidRPr="00156136">
        <w:rPr>
          <w:rFonts w:ascii="PT-Astra-Sans-Regular" w:hAnsi="PT-Astra-Sans-Regular"/>
          <w:color w:val="252525"/>
          <w:szCs w:val="24"/>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Основание приобретения и источники средств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93.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95. Обязанность сообщать сведения об </w:t>
      </w:r>
      <w:r w:rsidRPr="00156136">
        <w:rPr>
          <w:rFonts w:ascii="PT-Astra-Sans-Regular" w:hAnsi="PT-Astra-Sans-Regular"/>
          <w:b/>
          <w:bCs/>
          <w:color w:val="252525"/>
          <w:szCs w:val="24"/>
        </w:rPr>
        <w:t>источнике средств</w:t>
      </w:r>
      <w:r w:rsidRPr="00156136">
        <w:rPr>
          <w:rFonts w:ascii="PT-Astra-Sans-Regular" w:hAnsi="PT-Astra-Sans-Regular"/>
          <w:color w:val="252525"/>
          <w:szCs w:val="24"/>
        </w:rPr>
        <w:t xml:space="preserve">, за счет которых приобретено имущество, находящееся за пределами территории Российской Федерации, </w:t>
      </w:r>
      <w:r w:rsidRPr="00156136">
        <w:rPr>
          <w:rFonts w:ascii="PT-Astra-Sans-Regular" w:hAnsi="PT-Astra-Sans-Regular"/>
          <w:color w:val="252525"/>
          <w:szCs w:val="24"/>
        </w:rPr>
        <w:lastRenderedPageBreak/>
        <w:t>распространяется </w:t>
      </w:r>
      <w:r w:rsidRPr="00156136">
        <w:rPr>
          <w:rFonts w:ascii="PT-Astra-Sans-Regular" w:hAnsi="PT-Astra-Sans-Regular"/>
          <w:b/>
          <w:bCs/>
          <w:color w:val="252525"/>
          <w:szCs w:val="24"/>
        </w:rPr>
        <w:t>только</w:t>
      </w:r>
      <w:r w:rsidRPr="00156136">
        <w:rPr>
          <w:rFonts w:ascii="PT-Astra-Sans-Regular" w:hAnsi="PT-Astra-Sans-Regular"/>
          <w:color w:val="252525"/>
          <w:szCs w:val="24"/>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на лиц, замещающих (занимающих):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государственные должности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первого заместителя и заместителей Генерального прокурора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членов Совета директоров Центрального банка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государственные должности субъектов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заместителей руководителей федеральных органов исполнительной власти;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2) на супруг (супругов), несовершеннолетних детей лиц, указанных в абзацах втором-десятом подпункта 1 настоящего пункта;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иных лиц в случаях, предусмотренных федеральными законами.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56136">
        <w:rPr>
          <w:rFonts w:ascii="PT-Astra-Sans-Regular" w:hAnsi="PT-Astra-Sans-Regular"/>
          <w:b/>
          <w:bCs/>
          <w:color w:val="252525"/>
          <w:szCs w:val="24"/>
        </w:rPr>
        <w:t>исключительно</w:t>
      </w:r>
      <w:r w:rsidRPr="00156136">
        <w:rPr>
          <w:rFonts w:ascii="PT-Astra-Sans-Regular" w:hAnsi="PT-Astra-Sans-Regular"/>
          <w:color w:val="252525"/>
          <w:szCs w:val="24"/>
        </w:rPr>
        <w:t> за пределами территории Российской Федерации. Сведения о вышеуказанном источнике отображаются в справке ежегодно, вне зависимости от года приобретения имущества.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3.2. Транспортные средства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100. При заполнении графы</w:t>
      </w:r>
      <w:r w:rsidRPr="00156136">
        <w:rPr>
          <w:rFonts w:ascii="PT-Astra-Sans-Regular" w:hAnsi="PT-Astra-Sans-Regular"/>
          <w:b/>
          <w:bCs/>
          <w:color w:val="252525"/>
          <w:szCs w:val="24"/>
        </w:rPr>
        <w:t> «Место регистрации» </w:t>
      </w:r>
      <w:r w:rsidRPr="00156136">
        <w:rPr>
          <w:rFonts w:ascii="PT-Astra-Sans-Regular" w:hAnsi="PT-Astra-Sans-Regular"/>
          <w:color w:val="252525"/>
          <w:szCs w:val="24"/>
        </w:rPr>
        <w:t>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101. Аналогичным подходом необходимо руководствоваться при указании в данном подразделе водного, воздушного транспорта.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102. В строке 7 «Иные транспортные средства» подлежат указанию прицепы, зарегистрированные в установленном порядке.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lastRenderedPageBreak/>
        <w:t>РАЗДЕЛ 4. СВЕДЕНИЯ О СЧЕТАХ В БАНКАХ И ИНЫХ КРЕДИТНЫХ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счета с нулевым остатком по состоянию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счета (вклады) в иностранных банках, расположенных за пределами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счета, открытые для погашения кредита.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вклады (счета) в драгоценных металлах (в том числе указывается вид счета и металл, в котором он открыт).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105. С учетом целей антикоррупционного законодательства в данном разделе не указываются следующие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счета, закрытые по состоянию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депозитные счета нотариуса;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счета доверительного управления;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открываемые не на основании гражданско-правового договора счета, счета депо, счета брокера, индивидуальные инвестиционные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108. В соответствии с указанной Инструкцией физическим лицам открываются следующие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текущий счет (для совершения операций, не связанных с предпринимательской деятельностью или частной практикой);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109. В графе «Дата открытия счета» не допускается указание даты выпуска (перевыпуска) платежной карты.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110. Графа «Остаток на счете» заполняется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w:t>
      </w:r>
      <w:r w:rsidRPr="00156136">
        <w:rPr>
          <w:rFonts w:ascii="PT-Astra-Sans-Regular" w:hAnsi="PT-Astra-Sans-Regular"/>
          <w:color w:val="252525"/>
          <w:szCs w:val="24"/>
        </w:rPr>
        <w:lastRenderedPageBreak/>
        <w:t>России, доступны на официальном сайте Банка России по адресу: http://www.cbr.ru/currency_base/daily.aspx.</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111. Графа «Сумма поступивших на счет денежных средств» заполняется </w:t>
      </w:r>
      <w:r w:rsidRPr="00156136">
        <w:rPr>
          <w:rFonts w:ascii="PT-Astra-Sans-Regular" w:hAnsi="PT-Astra-Sans-Regular"/>
          <w:b/>
          <w:bCs/>
          <w:color w:val="252525"/>
          <w:szCs w:val="24"/>
        </w:rPr>
        <w:t>только</w:t>
      </w:r>
      <w:r w:rsidRPr="00156136">
        <w:rPr>
          <w:rFonts w:ascii="PT-Astra-Sans-Regular" w:hAnsi="PT-Astra-Sans-Regular"/>
          <w:color w:val="252525"/>
          <w:szCs w:val="24"/>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этом в данной графе следует сделать специальную пометку «Выписка от _______ №           прилагается на    л.».</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Для счетов в иностранной валюте сумма указывается в рублях по курсу Банка России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Совместный счет</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Кредитные карты, карты с овердрафтом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114. Банк (иная кредитная организация) выпускает следующие виды карт (таблица № 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3"/>
        <w:gridCol w:w="7168"/>
      </w:tblGrid>
      <w:tr w:rsidR="00156136" w:rsidRPr="00156136" w:rsidTr="00156136">
        <w:tc>
          <w:tcPr>
            <w:tcW w:w="223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Расчетная (дебетовая)</w:t>
            </w:r>
          </w:p>
        </w:tc>
        <w:tc>
          <w:tcPr>
            <w:tcW w:w="733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56136" w:rsidRPr="00156136" w:rsidTr="00156136">
        <w:tc>
          <w:tcPr>
            <w:tcW w:w="223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lastRenderedPageBreak/>
              <w:t>Кредитная</w:t>
            </w:r>
          </w:p>
        </w:tc>
        <w:tc>
          <w:tcPr>
            <w:tcW w:w="7335" w:type="dxa"/>
            <w:tcBorders>
              <w:top w:val="outset" w:sz="6" w:space="0" w:color="auto"/>
              <w:left w:val="outset" w:sz="6" w:space="0" w:color="auto"/>
              <w:bottom w:val="outset" w:sz="6" w:space="0" w:color="auto"/>
              <w:right w:val="outset" w:sz="6" w:space="0" w:color="auto"/>
            </w:tcBorders>
            <w:hideMark/>
          </w:tcPr>
          <w:p w:rsidR="00156136" w:rsidRPr="00156136" w:rsidRDefault="00156136" w:rsidP="00156136">
            <w:pPr>
              <w:spacing w:before="0" w:beforeAutospacing="0"/>
              <w:rPr>
                <w:szCs w:val="24"/>
              </w:rPr>
            </w:pPr>
            <w:r w:rsidRPr="00156136">
              <w:rPr>
                <w:szCs w:val="24"/>
              </w:rPr>
              <w:t>Как электронное средство платежа используется для совершения ее держателем операций за счет</w:t>
            </w:r>
            <w:r w:rsidRPr="00156136">
              <w:rPr>
                <w:szCs w:val="24"/>
              </w:rPr>
              <w:br/>
              <w:t>денежных средств, предоставленных кредитной</w:t>
            </w:r>
            <w:r w:rsidRPr="00156136">
              <w:rPr>
                <w:szCs w:val="24"/>
              </w:rPr>
              <w:br/>
              <w:t>организацией - эмитентом клиенту в пределах расходного лимита в соответствии с условиями кредитного договора.</w:t>
            </w:r>
          </w:p>
        </w:tc>
      </w:tr>
    </w:tbl>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115. Расчетная (дебетовая) и кредитные карты, как правило, предполагают открытие и ведение банком (иной кредитной организацией)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120. В данном разделе </w:t>
      </w:r>
      <w:r w:rsidRPr="00156136">
        <w:rPr>
          <w:rFonts w:ascii="PT-Astra-Sans-Regular" w:hAnsi="PT-Astra-Sans-Regular"/>
          <w:b/>
          <w:bCs/>
          <w:color w:val="252525"/>
          <w:szCs w:val="24"/>
        </w:rPr>
        <w:t>не указываются счета</w:t>
      </w:r>
      <w:r w:rsidRPr="00156136">
        <w:rPr>
          <w:rFonts w:ascii="PT-Astra-Sans-Regular" w:hAnsi="PT-Astra-Sans-Regular"/>
          <w:color w:val="252525"/>
          <w:szCs w:val="24"/>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Отзыв лицензии у кредитной организации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123. До момента закрытия соответствующего счета, счет считается открытым и подлежит отражению в разделе 4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lastRenderedPageBreak/>
        <w:t>Ликвидация кредитной организации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5. СВЕДЕНИЯ О ЦЕННЫХ БУМАГАХ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5.1. Акции и иное участие в коммерческих организациях и фондах</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128. В графе </w:t>
      </w:r>
      <w:r w:rsidRPr="00156136">
        <w:rPr>
          <w:rFonts w:ascii="PT-Astra-Sans-Regular" w:hAnsi="PT-Astra-Sans-Regular"/>
          <w:b/>
          <w:bCs/>
          <w:color w:val="252525"/>
          <w:szCs w:val="24"/>
        </w:rPr>
        <w:t>«Наименование и организационно-правовая форма организации</w:t>
      </w:r>
      <w:r w:rsidRPr="00156136">
        <w:rPr>
          <w:rFonts w:ascii="PT-Astra-Sans-Regular" w:hAnsi="PT-Astra-Sans-Regular"/>
          <w:color w:val="252525"/>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если служащий (работник) является учредителем организации, то данную информацию также необходимо отразить.</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129. </w:t>
      </w:r>
      <w:r w:rsidRPr="00156136">
        <w:rPr>
          <w:rFonts w:ascii="PT-Astra-Sans-Regular" w:hAnsi="PT-Astra-Sans-Regular"/>
          <w:b/>
          <w:bCs/>
          <w:color w:val="252525"/>
          <w:szCs w:val="24"/>
        </w:rPr>
        <w:t>Уставный капитал</w:t>
      </w:r>
      <w:r w:rsidRPr="00156136">
        <w:rPr>
          <w:rFonts w:ascii="PT-Astra-Sans-Regular" w:hAnsi="PT-Astra-Sans-Regular"/>
          <w:color w:val="252525"/>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156136">
        <w:rPr>
          <w:rFonts w:ascii="PT-Astra-Sans-Regular" w:hAnsi="PT-Astra-Sans-Regular"/>
          <w:color w:val="252525"/>
          <w:szCs w:val="24"/>
        </w:rPr>
        <w:lastRenderedPageBreak/>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Если законодательством не предусмотрено формирование уставного капитала, то указывается «0 руб.».</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130. </w:t>
      </w:r>
      <w:r w:rsidRPr="00156136">
        <w:rPr>
          <w:rFonts w:ascii="PT-Astra-Sans-Regular" w:hAnsi="PT-Astra-Sans-Regular"/>
          <w:b/>
          <w:bCs/>
          <w:color w:val="252525"/>
          <w:szCs w:val="24"/>
        </w:rPr>
        <w:t>Доля участия </w:t>
      </w:r>
      <w:r w:rsidRPr="00156136">
        <w:rPr>
          <w:rFonts w:ascii="PT-Astra-Sans-Regular" w:hAnsi="PT-Astra-Sans-Regular"/>
          <w:color w:val="252525"/>
          <w:szCs w:val="24"/>
        </w:rPr>
        <w:t>выражается в процентах от уставного капитала. Для акционерных обществ указываются также номинальная стоимость и количество акций.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5.2. Иные ценные бумаги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Государственный сертификат на материнский (семейный) капитал не является ценной бумагой и не подлежит указанию в подразделе 5.2 справки.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132. В подразделе 5.2 указываются все ценные бумаги по видам (облигации, векселя и другие), за исключением акций, указанных в подразделе 5.1.</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133. В графе «</w:t>
      </w:r>
      <w:r w:rsidRPr="00156136">
        <w:rPr>
          <w:rFonts w:ascii="PT-Astra-Sans-Regular" w:hAnsi="PT-Astra-Sans-Regular"/>
          <w:b/>
          <w:bCs/>
          <w:color w:val="252525"/>
          <w:szCs w:val="24"/>
        </w:rPr>
        <w:t>Общая стоимость</w:t>
      </w:r>
      <w:r w:rsidRPr="00156136">
        <w:rPr>
          <w:rFonts w:ascii="PT-Astra-Sans-Regular" w:hAnsi="PT-Astra-Sans-Regular"/>
          <w:color w:val="252525"/>
          <w:szCs w:val="2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6. СВЕДЕНИЯ ОБ ОБЯЗАТЕЛЬСТВАХ ИМУЩЕСТВЕННОГО ХАРАКТЕРА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6.1. Объекты недвижимого имущества, находящиеся в пользовании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137. В том числе указанию подлежат сведения о жилом помещении (дом, квартира, комната), нежилом помещении, земельном участке, гараже и т.д.:</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занимаемых по договору аренды (найма, поднайма);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занимаемых по договорам социального найма;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принадлежащем на праве пожизненного наследуемого владения земельным участком.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138. При этом указывается общая площадь объекта недвижимого имущества, находящегося в пользовании.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139. Сведения об объектах недвижимого имущества, находящихся в пользовании, указываются по состоянию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140. В графе </w:t>
      </w:r>
      <w:r w:rsidRPr="00156136">
        <w:rPr>
          <w:rFonts w:ascii="PT-Astra-Sans-Regular" w:hAnsi="PT-Astra-Sans-Regular"/>
          <w:b/>
          <w:bCs/>
          <w:color w:val="252525"/>
          <w:szCs w:val="24"/>
        </w:rPr>
        <w:t>«Вид имущества</w:t>
      </w:r>
      <w:r w:rsidRPr="00156136">
        <w:rPr>
          <w:rFonts w:ascii="PT-Astra-Sans-Regular" w:hAnsi="PT-Astra-Sans-Regular"/>
          <w:color w:val="252525"/>
          <w:szCs w:val="24"/>
        </w:rPr>
        <w:t>» указывается вид недвижимого имущества (земельный участок, жилой дом, дача, квартира, комната и др.).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141. В графе «</w:t>
      </w:r>
      <w:r w:rsidRPr="00156136">
        <w:rPr>
          <w:rFonts w:ascii="PT-Astra-Sans-Regular" w:hAnsi="PT-Astra-Sans-Regular"/>
          <w:b/>
          <w:bCs/>
          <w:color w:val="252525"/>
          <w:szCs w:val="24"/>
        </w:rPr>
        <w:t>Вид и сроки пользования</w:t>
      </w:r>
      <w:r w:rsidRPr="00156136">
        <w:rPr>
          <w:rFonts w:ascii="PT-Astra-Sans-Regular" w:hAnsi="PT-Astra-Sans-Regular"/>
          <w:color w:val="252525"/>
          <w:szCs w:val="24"/>
        </w:rPr>
        <w:t>» указываются вид пользования (аренда, безвозмездное пользование и др.) и сроки пользования.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142. В графе «</w:t>
      </w:r>
      <w:r w:rsidRPr="00156136">
        <w:rPr>
          <w:rFonts w:ascii="PT-Astra-Sans-Regular" w:hAnsi="PT-Astra-Sans-Regular"/>
          <w:b/>
          <w:bCs/>
          <w:color w:val="252525"/>
          <w:szCs w:val="24"/>
        </w:rPr>
        <w:t>Основание пользования</w:t>
      </w:r>
      <w:r w:rsidRPr="00156136">
        <w:rPr>
          <w:rFonts w:ascii="PT-Astra-Sans-Regular" w:hAnsi="PT-Astra-Sans-Regular"/>
          <w:color w:val="252525"/>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143. В данном подразделе </w:t>
      </w:r>
      <w:r w:rsidRPr="00156136">
        <w:rPr>
          <w:rFonts w:ascii="PT-Astra-Sans-Regular" w:hAnsi="PT-Astra-Sans-Regular"/>
          <w:b/>
          <w:bCs/>
          <w:color w:val="252525"/>
          <w:szCs w:val="24"/>
        </w:rPr>
        <w:t>не указывается</w:t>
      </w:r>
      <w:r w:rsidRPr="00156136">
        <w:rPr>
          <w:rFonts w:ascii="PT-Astra-Sans-Regular" w:hAnsi="PT-Astra-Sans-Regular"/>
          <w:color w:val="252525"/>
          <w:szCs w:val="24"/>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При этом данные доли собственности должны быть отражены в подразделе 3.1. справок служащего (работника) и его супруги (супруга).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Подраздел 6.2. Срочные обязательства финансового характера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145. В данном подразделе указывается </w:t>
      </w:r>
      <w:r w:rsidRPr="00156136">
        <w:rPr>
          <w:rFonts w:ascii="PT-Astra-Sans-Regular" w:hAnsi="PT-Astra-Sans-Regular"/>
          <w:b/>
          <w:bCs/>
          <w:color w:val="252525"/>
          <w:szCs w:val="24"/>
        </w:rPr>
        <w:t>каждое</w:t>
      </w:r>
      <w:r w:rsidRPr="00156136">
        <w:rPr>
          <w:rFonts w:ascii="PT-Astra-Sans-Regular" w:hAnsi="PT-Astra-Sans-Regular"/>
          <w:color w:val="252525"/>
          <w:szCs w:val="24"/>
        </w:rPr>
        <w:t> имеющееся на отчетную дату срочное обязательство финансового характера на сумму, </w:t>
      </w:r>
      <w:r w:rsidRPr="00156136">
        <w:rPr>
          <w:rFonts w:ascii="PT-Astra-Sans-Regular" w:hAnsi="PT-Astra-Sans-Regular"/>
          <w:b/>
          <w:bCs/>
          <w:color w:val="252525"/>
          <w:szCs w:val="24"/>
        </w:rPr>
        <w:t>равную или превышающую</w:t>
      </w:r>
      <w:r w:rsidRPr="00156136">
        <w:rPr>
          <w:rFonts w:ascii="PT-Astra-Sans-Regular" w:hAnsi="PT-Astra-Sans-Regular"/>
          <w:color w:val="252525"/>
          <w:szCs w:val="24"/>
        </w:rPr>
        <w:t> 500 000 руб., кредитором или должником по которым является служащий (работник), его супруга (супруг), несовершеннолетний ребенок.</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146. В графе «</w:t>
      </w:r>
      <w:r w:rsidRPr="00156136">
        <w:rPr>
          <w:rFonts w:ascii="PT-Astra-Sans-Regular" w:hAnsi="PT-Astra-Sans-Regular"/>
          <w:b/>
          <w:bCs/>
          <w:color w:val="252525"/>
          <w:szCs w:val="24"/>
        </w:rPr>
        <w:t>Содержание обязательства</w:t>
      </w:r>
      <w:r w:rsidRPr="00156136">
        <w:rPr>
          <w:rFonts w:ascii="PT-Astra-Sans-Regular" w:hAnsi="PT-Astra-Sans-Regular"/>
          <w:color w:val="252525"/>
          <w:szCs w:val="24"/>
        </w:rPr>
        <w:t>» указывается существо обязательства (заем, кредит и другие).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147. В графе «</w:t>
      </w:r>
      <w:r w:rsidRPr="00156136">
        <w:rPr>
          <w:rFonts w:ascii="PT-Astra-Sans-Regular" w:hAnsi="PT-Astra-Sans-Regular"/>
          <w:b/>
          <w:bCs/>
          <w:color w:val="252525"/>
          <w:szCs w:val="24"/>
        </w:rPr>
        <w:t>Кредитор (должник)</w:t>
      </w:r>
      <w:r w:rsidRPr="00156136">
        <w:rPr>
          <w:rFonts w:ascii="PT-Astra-Sans-Regular" w:hAnsi="PT-Astra-Sans-Regular"/>
          <w:color w:val="252525"/>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Например,</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148. В графе «</w:t>
      </w:r>
      <w:r w:rsidRPr="00156136">
        <w:rPr>
          <w:rFonts w:ascii="PT-Astra-Sans-Regular" w:hAnsi="PT-Astra-Sans-Regular"/>
          <w:b/>
          <w:bCs/>
          <w:color w:val="252525"/>
          <w:szCs w:val="24"/>
        </w:rPr>
        <w:t>Основание возникновения</w:t>
      </w:r>
      <w:r w:rsidRPr="00156136">
        <w:rPr>
          <w:rFonts w:ascii="PT-Astra-Sans-Regular" w:hAnsi="PT-Astra-Sans-Regular"/>
          <w:color w:val="252525"/>
          <w:szCs w:val="24"/>
        </w:rPr>
        <w:t>» указываются основание возникновения обязательства, а также реквизиты (дата, номер) соответствующего договора или акта.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149. В графе «</w:t>
      </w:r>
      <w:r w:rsidRPr="00156136">
        <w:rPr>
          <w:rFonts w:ascii="PT-Astra-Sans-Regular" w:hAnsi="PT-Astra-Sans-Regular"/>
          <w:b/>
          <w:bCs/>
          <w:color w:val="252525"/>
          <w:szCs w:val="24"/>
        </w:rPr>
        <w:t>Сумма обязательства / размер обязательства по состоянию на отчетную дату</w:t>
      </w:r>
      <w:r w:rsidRPr="00156136">
        <w:rPr>
          <w:rFonts w:ascii="PT-Astra-Sans-Regular" w:hAnsi="PT-Astra-Sans-Regular"/>
          <w:color w:val="252525"/>
          <w:szCs w:val="24"/>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151. В графе «</w:t>
      </w:r>
      <w:r w:rsidRPr="00156136">
        <w:rPr>
          <w:rFonts w:ascii="PT-Astra-Sans-Regular" w:hAnsi="PT-Astra-Sans-Regular"/>
          <w:b/>
          <w:bCs/>
          <w:color w:val="252525"/>
          <w:szCs w:val="24"/>
        </w:rPr>
        <w:t>Условия обязательства</w:t>
      </w:r>
      <w:r w:rsidRPr="00156136">
        <w:rPr>
          <w:rFonts w:ascii="PT-Astra-Sans-Regular" w:hAnsi="PT-Astra-Sans-Regular"/>
          <w:color w:val="252525"/>
          <w:szCs w:val="24"/>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152. Помимо прочего подлежат указанию:</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2) договор финансовой аренды (лизинг);</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3) договор займа;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4) договор финансирования под уступку денежного требования;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5) обязательства, связанные с заключением договора об уступке права требования;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6) обязательства вследствие причинения вреда (финансовые);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8) обязательства по уплате алиментов (если по состоянию на отчетную дату сумма невыплаченных алиментов равна или превышает 500 000 руб.);</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10) иные обязательства, в том числе установленные решением суда.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153. </w:t>
      </w:r>
      <w:r w:rsidRPr="00156136">
        <w:rPr>
          <w:rFonts w:ascii="PT-Astra-Sans-Regular" w:hAnsi="PT-Astra-Sans-Regular"/>
          <w:b/>
          <w:bCs/>
          <w:color w:val="252525"/>
          <w:szCs w:val="24"/>
        </w:rPr>
        <w:t>Отдельные виды срочных обязательств финансового характера</w:t>
      </w:r>
      <w:r w:rsidRPr="00156136">
        <w:rPr>
          <w:rFonts w:ascii="PT-Astra-Sans-Regular" w:hAnsi="PT-Astra-Sans-Regular"/>
          <w:color w:val="252525"/>
          <w:szCs w:val="24"/>
        </w:rPr>
        <w:t>:</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1) участие в долевом строительстве объекта недвижимости. </w:t>
      </w:r>
      <w:r w:rsidRPr="00156136">
        <w:rPr>
          <w:rFonts w:ascii="PT-Astra-Sans-Regular" w:hAnsi="PT-Astra-Sans-Regular"/>
          <w:color w:val="252525"/>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2) обязательства по ипотеке в случае разделения суммы кредита между супругами.</w:t>
      </w:r>
      <w:r w:rsidRPr="00156136">
        <w:rPr>
          <w:rFonts w:ascii="PT-Astra-Sans-Regular" w:hAnsi="PT-Astra-Sans-Regular"/>
          <w:color w:val="252525"/>
          <w:szCs w:val="24"/>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156136">
        <w:rPr>
          <w:rFonts w:ascii="PT-Astra-Sans-Regular" w:hAnsi="PT-Astra-Sans-Regular"/>
          <w:color w:val="252525"/>
          <w:szCs w:val="24"/>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w:t>
      </w:r>
      <w:r w:rsidRPr="00156136">
        <w:rPr>
          <w:rFonts w:ascii="PT-Astra-Sans-Regular" w:hAnsi="PT-Astra-Sans-Regular"/>
          <w:color w:val="252525"/>
          <w:szCs w:val="24"/>
        </w:rPr>
        <w:lastRenderedPageBreak/>
        <w:t>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156136">
        <w:rPr>
          <w:rFonts w:ascii="PT-Astra-Sans-Regular" w:hAnsi="PT-Astra-Sans-Regular"/>
          <w:color w:val="252525"/>
          <w:szCs w:val="24"/>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b/>
          <w:bCs/>
          <w:color w:val="252525"/>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156. К безвозмездной сделке можно отнести договор дарения.</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157. Каждый объект безвозмездной сделки указывается отдельно.</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 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 настоящих Методических рекомендаций.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159. В строке «Транспортные средства» рекомендуется указывать вид, марку, модель транспортного средства, год изготовления, место регистрации.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 xml:space="preserve">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w:t>
      </w:r>
      <w:r w:rsidRPr="00156136">
        <w:rPr>
          <w:rFonts w:ascii="PT-Astra-Sans-Regular" w:hAnsi="PT-Astra-Sans-Regular"/>
          <w:color w:val="252525"/>
          <w:szCs w:val="24"/>
        </w:rPr>
        <w:lastRenderedPageBreak/>
        <w:t>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156136" w:rsidRPr="00156136" w:rsidRDefault="00156136" w:rsidP="00156136">
      <w:pPr>
        <w:shd w:val="clear" w:color="auto" w:fill="FFFFFF"/>
        <w:spacing w:before="0" w:beforeAutospacing="0"/>
        <w:jc w:val="both"/>
        <w:rPr>
          <w:rFonts w:ascii="PT-Astra-Sans-Regular" w:hAnsi="PT-Astra-Sans-Regular"/>
          <w:color w:val="252525"/>
          <w:sz w:val="29"/>
          <w:szCs w:val="29"/>
        </w:rPr>
      </w:pPr>
      <w:r w:rsidRPr="00156136">
        <w:rPr>
          <w:rFonts w:ascii="PT-Astra-Sans-Regular" w:hAnsi="PT-Astra-Sans-Regular"/>
          <w:color w:val="252525"/>
          <w:szCs w:val="24"/>
        </w:rPr>
        <w:t>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3C7147" w:rsidRPr="00156136" w:rsidRDefault="003C7147" w:rsidP="00156136"/>
    <w:sectPr w:rsidR="003C7147" w:rsidRPr="00156136"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06F"/>
    <w:multiLevelType w:val="multilevel"/>
    <w:tmpl w:val="DB4C9F6C"/>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B59FB"/>
    <w:multiLevelType w:val="multilevel"/>
    <w:tmpl w:val="856643F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20105"/>
    <w:multiLevelType w:val="multilevel"/>
    <w:tmpl w:val="AA3A284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01F22"/>
    <w:multiLevelType w:val="multilevel"/>
    <w:tmpl w:val="00BA365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E68"/>
    <w:multiLevelType w:val="multilevel"/>
    <w:tmpl w:val="48AECE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738E2"/>
    <w:multiLevelType w:val="multilevel"/>
    <w:tmpl w:val="07A8321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D5567"/>
    <w:multiLevelType w:val="multilevel"/>
    <w:tmpl w:val="52EECBD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A82844"/>
    <w:multiLevelType w:val="multilevel"/>
    <w:tmpl w:val="EDC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42F2A"/>
    <w:multiLevelType w:val="multilevel"/>
    <w:tmpl w:val="10BEA11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66381"/>
    <w:multiLevelType w:val="multilevel"/>
    <w:tmpl w:val="47D2AF9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891080"/>
    <w:multiLevelType w:val="multilevel"/>
    <w:tmpl w:val="441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05691"/>
    <w:multiLevelType w:val="multilevel"/>
    <w:tmpl w:val="95AED7F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82297F"/>
    <w:multiLevelType w:val="multilevel"/>
    <w:tmpl w:val="30185ED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471B2F"/>
    <w:multiLevelType w:val="multilevel"/>
    <w:tmpl w:val="26389E7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7668D5"/>
    <w:multiLevelType w:val="multilevel"/>
    <w:tmpl w:val="0F86C418"/>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1E37D8"/>
    <w:multiLevelType w:val="multilevel"/>
    <w:tmpl w:val="2A822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F27E5A"/>
    <w:multiLevelType w:val="multilevel"/>
    <w:tmpl w:val="402A1AA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FA7B13"/>
    <w:multiLevelType w:val="multilevel"/>
    <w:tmpl w:val="BA70F1D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1D3819"/>
    <w:multiLevelType w:val="multilevel"/>
    <w:tmpl w:val="876A6C9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323A41"/>
    <w:multiLevelType w:val="multilevel"/>
    <w:tmpl w:val="20A0F806"/>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9A3208"/>
    <w:multiLevelType w:val="multilevel"/>
    <w:tmpl w:val="5726C38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9D2276"/>
    <w:multiLevelType w:val="multilevel"/>
    <w:tmpl w:val="A8B0EB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DB6716"/>
    <w:multiLevelType w:val="multilevel"/>
    <w:tmpl w:val="FC46D60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9E32BF"/>
    <w:multiLevelType w:val="multilevel"/>
    <w:tmpl w:val="26B2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4C6AA1"/>
    <w:multiLevelType w:val="multilevel"/>
    <w:tmpl w:val="EF82F0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5F5451"/>
    <w:multiLevelType w:val="multilevel"/>
    <w:tmpl w:val="F8A0C17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98677E"/>
    <w:multiLevelType w:val="multilevel"/>
    <w:tmpl w:val="583EC76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2263EE"/>
    <w:multiLevelType w:val="multilevel"/>
    <w:tmpl w:val="E646A8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7631C1"/>
    <w:multiLevelType w:val="multilevel"/>
    <w:tmpl w:val="F5CA0D4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917C4"/>
    <w:multiLevelType w:val="multilevel"/>
    <w:tmpl w:val="02E6794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132256"/>
    <w:multiLevelType w:val="multilevel"/>
    <w:tmpl w:val="D58E4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451BF4"/>
    <w:multiLevelType w:val="multilevel"/>
    <w:tmpl w:val="4CF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761453"/>
    <w:multiLevelType w:val="multilevel"/>
    <w:tmpl w:val="E1C26C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8F1460"/>
    <w:multiLevelType w:val="multilevel"/>
    <w:tmpl w:val="9EB65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036E06"/>
    <w:multiLevelType w:val="multilevel"/>
    <w:tmpl w:val="4904A75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1501FA"/>
    <w:multiLevelType w:val="multilevel"/>
    <w:tmpl w:val="087CBF0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1A195F"/>
    <w:multiLevelType w:val="multilevel"/>
    <w:tmpl w:val="2B4EB1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957137"/>
    <w:multiLevelType w:val="multilevel"/>
    <w:tmpl w:val="0FF6D64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500496"/>
    <w:multiLevelType w:val="multilevel"/>
    <w:tmpl w:val="2586DBB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7E5EE2"/>
    <w:multiLevelType w:val="multilevel"/>
    <w:tmpl w:val="898E8BE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C46F95"/>
    <w:multiLevelType w:val="multilevel"/>
    <w:tmpl w:val="FCF00DA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7A203B"/>
    <w:multiLevelType w:val="multilevel"/>
    <w:tmpl w:val="7D4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F220B6"/>
    <w:multiLevelType w:val="multilevel"/>
    <w:tmpl w:val="7346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E05D93"/>
    <w:multiLevelType w:val="multilevel"/>
    <w:tmpl w:val="327AF06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740195"/>
    <w:multiLevelType w:val="multilevel"/>
    <w:tmpl w:val="A062473A"/>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B9587F"/>
    <w:multiLevelType w:val="multilevel"/>
    <w:tmpl w:val="AA50412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2D0B69"/>
    <w:multiLevelType w:val="multilevel"/>
    <w:tmpl w:val="B952FB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6A463B"/>
    <w:multiLevelType w:val="multilevel"/>
    <w:tmpl w:val="1B0260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0B58E6"/>
    <w:multiLevelType w:val="multilevel"/>
    <w:tmpl w:val="8C9E13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4B5E92"/>
    <w:multiLevelType w:val="multilevel"/>
    <w:tmpl w:val="9CD4EB4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6725A6"/>
    <w:multiLevelType w:val="multilevel"/>
    <w:tmpl w:val="04105378"/>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C764430"/>
    <w:multiLevelType w:val="multilevel"/>
    <w:tmpl w:val="753864F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F7743F"/>
    <w:multiLevelType w:val="multilevel"/>
    <w:tmpl w:val="C222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7F44EC"/>
    <w:multiLevelType w:val="multilevel"/>
    <w:tmpl w:val="9D4CF12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6368D4"/>
    <w:multiLevelType w:val="multilevel"/>
    <w:tmpl w:val="9C1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961877"/>
    <w:multiLevelType w:val="multilevel"/>
    <w:tmpl w:val="A8B6DE0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C765AE"/>
    <w:multiLevelType w:val="multilevel"/>
    <w:tmpl w:val="028E59E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FB3B11"/>
    <w:multiLevelType w:val="multilevel"/>
    <w:tmpl w:val="7ADA86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CB733D"/>
    <w:multiLevelType w:val="multilevel"/>
    <w:tmpl w:val="9462DBF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9805A3"/>
    <w:multiLevelType w:val="multilevel"/>
    <w:tmpl w:val="FA120E1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183259"/>
    <w:multiLevelType w:val="multilevel"/>
    <w:tmpl w:val="82DCDA7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5D7B44"/>
    <w:multiLevelType w:val="multilevel"/>
    <w:tmpl w:val="5880A22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1719D4"/>
    <w:multiLevelType w:val="multilevel"/>
    <w:tmpl w:val="2EEA4AE6"/>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3B5906"/>
    <w:multiLevelType w:val="multilevel"/>
    <w:tmpl w:val="FAE6DC3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8218CB"/>
    <w:multiLevelType w:val="multilevel"/>
    <w:tmpl w:val="9A4028A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8E33AE"/>
    <w:multiLevelType w:val="multilevel"/>
    <w:tmpl w:val="8C82FBD4"/>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BF832CA"/>
    <w:multiLevelType w:val="multilevel"/>
    <w:tmpl w:val="3744868C"/>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9448EE"/>
    <w:multiLevelType w:val="multilevel"/>
    <w:tmpl w:val="35FA1CD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6B0A2A"/>
    <w:multiLevelType w:val="multilevel"/>
    <w:tmpl w:val="318AF58E"/>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AB5985"/>
    <w:multiLevelType w:val="multilevel"/>
    <w:tmpl w:val="29E8F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494870"/>
    <w:multiLevelType w:val="multilevel"/>
    <w:tmpl w:val="4C5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CC07D4"/>
    <w:multiLevelType w:val="multilevel"/>
    <w:tmpl w:val="FDD6BE8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998591F"/>
    <w:multiLevelType w:val="multilevel"/>
    <w:tmpl w:val="8EDE54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99A3296"/>
    <w:multiLevelType w:val="multilevel"/>
    <w:tmpl w:val="B45A744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000312"/>
    <w:multiLevelType w:val="multilevel"/>
    <w:tmpl w:val="F68ACC90"/>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C915FD9"/>
    <w:multiLevelType w:val="multilevel"/>
    <w:tmpl w:val="AB22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60490B"/>
    <w:multiLevelType w:val="multilevel"/>
    <w:tmpl w:val="E0C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DF6586"/>
    <w:multiLevelType w:val="multilevel"/>
    <w:tmpl w:val="1C70614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872590"/>
    <w:multiLevelType w:val="multilevel"/>
    <w:tmpl w:val="5FC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3FE572C"/>
    <w:multiLevelType w:val="multilevel"/>
    <w:tmpl w:val="0032BD74"/>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5E21BB"/>
    <w:multiLevelType w:val="multilevel"/>
    <w:tmpl w:val="9A008AA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DD0A74"/>
    <w:multiLevelType w:val="multilevel"/>
    <w:tmpl w:val="7294085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2F4E06"/>
    <w:multiLevelType w:val="multilevel"/>
    <w:tmpl w:val="F5544A6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76C6BAD"/>
    <w:multiLevelType w:val="multilevel"/>
    <w:tmpl w:val="5760517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7A7C88"/>
    <w:multiLevelType w:val="multilevel"/>
    <w:tmpl w:val="A270128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78C3424"/>
    <w:multiLevelType w:val="multilevel"/>
    <w:tmpl w:val="F85A3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7ED3563"/>
    <w:multiLevelType w:val="multilevel"/>
    <w:tmpl w:val="B9D21E24"/>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765507"/>
    <w:multiLevelType w:val="multilevel"/>
    <w:tmpl w:val="796C8406"/>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CD2276"/>
    <w:multiLevelType w:val="multilevel"/>
    <w:tmpl w:val="9D4875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5C7D2F"/>
    <w:multiLevelType w:val="multilevel"/>
    <w:tmpl w:val="99F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F124A6"/>
    <w:multiLevelType w:val="multilevel"/>
    <w:tmpl w:val="655259B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147062"/>
    <w:multiLevelType w:val="multilevel"/>
    <w:tmpl w:val="828A673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DA400F4"/>
    <w:multiLevelType w:val="multilevel"/>
    <w:tmpl w:val="8BA0E56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FD178A0"/>
    <w:multiLevelType w:val="multilevel"/>
    <w:tmpl w:val="E4762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D97502"/>
    <w:multiLevelType w:val="multilevel"/>
    <w:tmpl w:val="189A3D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C52F85"/>
    <w:multiLevelType w:val="multilevel"/>
    <w:tmpl w:val="9EEEAD14"/>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70585F"/>
    <w:multiLevelType w:val="multilevel"/>
    <w:tmpl w:val="1DB886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C62E29"/>
    <w:multiLevelType w:val="multilevel"/>
    <w:tmpl w:val="3EF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017C7D"/>
    <w:multiLevelType w:val="multilevel"/>
    <w:tmpl w:val="1D0C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5186CF6"/>
    <w:multiLevelType w:val="multilevel"/>
    <w:tmpl w:val="C4EAE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6DA4890"/>
    <w:multiLevelType w:val="multilevel"/>
    <w:tmpl w:val="E2CC5DF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2C087C"/>
    <w:multiLevelType w:val="multilevel"/>
    <w:tmpl w:val="5BD0BD58"/>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BF74A2"/>
    <w:multiLevelType w:val="multilevel"/>
    <w:tmpl w:val="8BA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D83022"/>
    <w:multiLevelType w:val="multilevel"/>
    <w:tmpl w:val="752A3D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8624A3"/>
    <w:multiLevelType w:val="multilevel"/>
    <w:tmpl w:val="789C990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D4D5612"/>
    <w:multiLevelType w:val="multilevel"/>
    <w:tmpl w:val="81D694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78319D"/>
    <w:multiLevelType w:val="multilevel"/>
    <w:tmpl w:val="2D322C3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566CE9"/>
    <w:multiLevelType w:val="multilevel"/>
    <w:tmpl w:val="D1A076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A53DAA"/>
    <w:multiLevelType w:val="multilevel"/>
    <w:tmpl w:val="A6B4BA3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FCF096D"/>
    <w:multiLevelType w:val="multilevel"/>
    <w:tmpl w:val="A446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09"/>
  </w:num>
  <w:num w:numId="3">
    <w:abstractNumId w:val="10"/>
  </w:num>
  <w:num w:numId="4">
    <w:abstractNumId w:val="75"/>
  </w:num>
  <w:num w:numId="5">
    <w:abstractNumId w:val="54"/>
  </w:num>
  <w:num w:numId="6">
    <w:abstractNumId w:val="93"/>
  </w:num>
  <w:num w:numId="7">
    <w:abstractNumId w:val="85"/>
  </w:num>
  <w:num w:numId="8">
    <w:abstractNumId w:val="15"/>
  </w:num>
  <w:num w:numId="9">
    <w:abstractNumId w:val="30"/>
  </w:num>
  <w:num w:numId="10">
    <w:abstractNumId w:val="31"/>
  </w:num>
  <w:num w:numId="11">
    <w:abstractNumId w:val="107"/>
  </w:num>
  <w:num w:numId="12">
    <w:abstractNumId w:val="99"/>
  </w:num>
  <w:num w:numId="13">
    <w:abstractNumId w:val="88"/>
  </w:num>
  <w:num w:numId="14">
    <w:abstractNumId w:val="41"/>
  </w:num>
  <w:num w:numId="15">
    <w:abstractNumId w:val="76"/>
  </w:num>
  <w:num w:numId="16">
    <w:abstractNumId w:val="82"/>
  </w:num>
  <w:num w:numId="17">
    <w:abstractNumId w:val="78"/>
  </w:num>
  <w:num w:numId="18">
    <w:abstractNumId w:val="69"/>
  </w:num>
  <w:num w:numId="19">
    <w:abstractNumId w:val="33"/>
  </w:num>
  <w:num w:numId="20">
    <w:abstractNumId w:val="21"/>
  </w:num>
  <w:num w:numId="21">
    <w:abstractNumId w:val="72"/>
  </w:num>
  <w:num w:numId="22">
    <w:abstractNumId w:val="102"/>
  </w:num>
  <w:num w:numId="23">
    <w:abstractNumId w:val="24"/>
  </w:num>
  <w:num w:numId="24">
    <w:abstractNumId w:val="103"/>
  </w:num>
  <w:num w:numId="25">
    <w:abstractNumId w:val="36"/>
  </w:num>
  <w:num w:numId="26">
    <w:abstractNumId w:val="27"/>
  </w:num>
  <w:num w:numId="27">
    <w:abstractNumId w:val="45"/>
  </w:num>
  <w:num w:numId="28">
    <w:abstractNumId w:val="52"/>
  </w:num>
  <w:num w:numId="29">
    <w:abstractNumId w:val="105"/>
  </w:num>
  <w:num w:numId="30">
    <w:abstractNumId w:val="57"/>
  </w:num>
  <w:num w:numId="31">
    <w:abstractNumId w:val="46"/>
  </w:num>
  <w:num w:numId="32">
    <w:abstractNumId w:val="17"/>
  </w:num>
  <w:num w:numId="33">
    <w:abstractNumId w:val="32"/>
  </w:num>
  <w:num w:numId="34">
    <w:abstractNumId w:val="47"/>
  </w:num>
  <w:num w:numId="35">
    <w:abstractNumId w:val="37"/>
  </w:num>
  <w:num w:numId="36">
    <w:abstractNumId w:val="96"/>
  </w:num>
  <w:num w:numId="37">
    <w:abstractNumId w:val="2"/>
  </w:num>
  <w:num w:numId="38">
    <w:abstractNumId w:val="28"/>
  </w:num>
  <w:num w:numId="39">
    <w:abstractNumId w:val="26"/>
  </w:num>
  <w:num w:numId="40">
    <w:abstractNumId w:val="12"/>
  </w:num>
  <w:num w:numId="41">
    <w:abstractNumId w:val="83"/>
  </w:num>
  <w:num w:numId="42">
    <w:abstractNumId w:val="108"/>
  </w:num>
  <w:num w:numId="43">
    <w:abstractNumId w:val="89"/>
  </w:num>
  <w:num w:numId="44">
    <w:abstractNumId w:val="7"/>
  </w:num>
  <w:num w:numId="45">
    <w:abstractNumId w:val="97"/>
  </w:num>
  <w:num w:numId="46">
    <w:abstractNumId w:val="5"/>
  </w:num>
  <w:num w:numId="47">
    <w:abstractNumId w:val="3"/>
  </w:num>
  <w:num w:numId="48">
    <w:abstractNumId w:val="80"/>
  </w:num>
  <w:num w:numId="49">
    <w:abstractNumId w:val="77"/>
  </w:num>
  <w:num w:numId="50">
    <w:abstractNumId w:val="13"/>
  </w:num>
  <w:num w:numId="51">
    <w:abstractNumId w:val="20"/>
  </w:num>
  <w:num w:numId="52">
    <w:abstractNumId w:val="40"/>
  </w:num>
  <w:num w:numId="53">
    <w:abstractNumId w:val="11"/>
  </w:num>
  <w:num w:numId="54">
    <w:abstractNumId w:val="106"/>
  </w:num>
  <w:num w:numId="55">
    <w:abstractNumId w:val="48"/>
  </w:num>
  <w:num w:numId="56">
    <w:abstractNumId w:val="16"/>
  </w:num>
  <w:num w:numId="57">
    <w:abstractNumId w:val="9"/>
  </w:num>
  <w:num w:numId="58">
    <w:abstractNumId w:val="18"/>
  </w:num>
  <w:num w:numId="59">
    <w:abstractNumId w:val="90"/>
  </w:num>
  <w:num w:numId="60">
    <w:abstractNumId w:val="71"/>
  </w:num>
  <w:num w:numId="61">
    <w:abstractNumId w:val="104"/>
  </w:num>
  <w:num w:numId="62">
    <w:abstractNumId w:val="6"/>
  </w:num>
  <w:num w:numId="63">
    <w:abstractNumId w:val="81"/>
  </w:num>
  <w:num w:numId="64">
    <w:abstractNumId w:val="8"/>
  </w:num>
  <w:num w:numId="65">
    <w:abstractNumId w:val="59"/>
  </w:num>
  <w:num w:numId="66">
    <w:abstractNumId w:val="94"/>
  </w:num>
  <w:num w:numId="67">
    <w:abstractNumId w:val="58"/>
  </w:num>
  <w:num w:numId="68">
    <w:abstractNumId w:val="22"/>
  </w:num>
  <w:num w:numId="69">
    <w:abstractNumId w:val="56"/>
  </w:num>
  <w:num w:numId="70">
    <w:abstractNumId w:val="38"/>
  </w:num>
  <w:num w:numId="71">
    <w:abstractNumId w:val="53"/>
  </w:num>
  <w:num w:numId="72">
    <w:abstractNumId w:val="91"/>
  </w:num>
  <w:num w:numId="73">
    <w:abstractNumId w:val="73"/>
  </w:num>
  <w:num w:numId="74">
    <w:abstractNumId w:val="92"/>
  </w:num>
  <w:num w:numId="75">
    <w:abstractNumId w:val="29"/>
  </w:num>
  <w:num w:numId="76">
    <w:abstractNumId w:val="39"/>
  </w:num>
  <w:num w:numId="77">
    <w:abstractNumId w:val="19"/>
  </w:num>
  <w:num w:numId="78">
    <w:abstractNumId w:val="61"/>
  </w:num>
  <w:num w:numId="79">
    <w:abstractNumId w:val="64"/>
  </w:num>
  <w:num w:numId="80">
    <w:abstractNumId w:val="25"/>
  </w:num>
  <w:num w:numId="81">
    <w:abstractNumId w:val="34"/>
  </w:num>
  <w:num w:numId="82">
    <w:abstractNumId w:val="67"/>
  </w:num>
  <w:num w:numId="83">
    <w:abstractNumId w:val="95"/>
  </w:num>
  <w:num w:numId="84">
    <w:abstractNumId w:val="60"/>
  </w:num>
  <w:num w:numId="85">
    <w:abstractNumId w:val="66"/>
  </w:num>
  <w:num w:numId="86">
    <w:abstractNumId w:val="4"/>
  </w:num>
  <w:num w:numId="87">
    <w:abstractNumId w:val="79"/>
  </w:num>
  <w:num w:numId="88">
    <w:abstractNumId w:val="70"/>
  </w:num>
  <w:num w:numId="89">
    <w:abstractNumId w:val="35"/>
  </w:num>
  <w:num w:numId="90">
    <w:abstractNumId w:val="86"/>
  </w:num>
  <w:num w:numId="91">
    <w:abstractNumId w:val="68"/>
  </w:num>
  <w:num w:numId="92">
    <w:abstractNumId w:val="101"/>
  </w:num>
  <w:num w:numId="93">
    <w:abstractNumId w:val="43"/>
  </w:num>
  <w:num w:numId="94">
    <w:abstractNumId w:val="50"/>
  </w:num>
  <w:num w:numId="95">
    <w:abstractNumId w:val="51"/>
  </w:num>
  <w:num w:numId="96">
    <w:abstractNumId w:val="87"/>
  </w:num>
  <w:num w:numId="97">
    <w:abstractNumId w:val="55"/>
  </w:num>
  <w:num w:numId="98">
    <w:abstractNumId w:val="49"/>
  </w:num>
  <w:num w:numId="99">
    <w:abstractNumId w:val="62"/>
  </w:num>
  <w:num w:numId="100">
    <w:abstractNumId w:val="84"/>
  </w:num>
  <w:num w:numId="101">
    <w:abstractNumId w:val="100"/>
  </w:num>
  <w:num w:numId="102">
    <w:abstractNumId w:val="63"/>
  </w:num>
  <w:num w:numId="103">
    <w:abstractNumId w:val="1"/>
  </w:num>
  <w:num w:numId="104">
    <w:abstractNumId w:val="44"/>
  </w:num>
  <w:num w:numId="105">
    <w:abstractNumId w:val="0"/>
  </w:num>
  <w:num w:numId="106">
    <w:abstractNumId w:val="65"/>
  </w:num>
  <w:num w:numId="107">
    <w:abstractNumId w:val="74"/>
  </w:num>
  <w:num w:numId="108">
    <w:abstractNumId w:val="14"/>
  </w:num>
  <w:num w:numId="109">
    <w:abstractNumId w:val="23"/>
  </w:num>
  <w:num w:numId="110">
    <w:abstractNumId w:val="9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931EA5"/>
    <w:rsid w:val="00156136"/>
    <w:rsid w:val="002A0321"/>
    <w:rsid w:val="00370241"/>
    <w:rsid w:val="003B2196"/>
    <w:rsid w:val="003C7147"/>
    <w:rsid w:val="00737A78"/>
    <w:rsid w:val="00931EA5"/>
    <w:rsid w:val="00A94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A94F2A"/>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931EA5"/>
    <w:rPr>
      <w:szCs w:val="24"/>
    </w:rPr>
  </w:style>
  <w:style w:type="character" w:styleId="a5">
    <w:name w:val="Strong"/>
    <w:basedOn w:val="a0"/>
    <w:uiPriority w:val="22"/>
    <w:qFormat/>
    <w:rsid w:val="00931EA5"/>
    <w:rPr>
      <w:b/>
      <w:bCs/>
    </w:rPr>
  </w:style>
  <w:style w:type="character" w:styleId="a6">
    <w:name w:val="Hyperlink"/>
    <w:basedOn w:val="a0"/>
    <w:uiPriority w:val="99"/>
    <w:semiHidden/>
    <w:unhideWhenUsed/>
    <w:rsid w:val="00931EA5"/>
    <w:rPr>
      <w:color w:val="0000FF"/>
      <w:u w:val="single"/>
    </w:rPr>
  </w:style>
  <w:style w:type="character" w:styleId="a7">
    <w:name w:val="FollowedHyperlink"/>
    <w:basedOn w:val="a0"/>
    <w:uiPriority w:val="99"/>
    <w:semiHidden/>
    <w:unhideWhenUsed/>
    <w:rsid w:val="00931EA5"/>
    <w:rPr>
      <w:color w:val="800080"/>
      <w:u w:val="single"/>
    </w:rPr>
  </w:style>
  <w:style w:type="character" w:customStyle="1" w:styleId="icon-chevron-left">
    <w:name w:val="icon-chevron-left"/>
    <w:basedOn w:val="a0"/>
    <w:rsid w:val="00931EA5"/>
  </w:style>
  <w:style w:type="character" w:customStyle="1" w:styleId="10">
    <w:name w:val="Заголовок 1 Знак"/>
    <w:basedOn w:val="a0"/>
    <w:link w:val="1"/>
    <w:uiPriority w:val="9"/>
    <w:rsid w:val="00A94F2A"/>
    <w:rPr>
      <w:b/>
      <w:bCs/>
      <w:kern w:val="36"/>
      <w:sz w:val="48"/>
      <w:szCs w:val="48"/>
    </w:rPr>
  </w:style>
  <w:style w:type="character" w:customStyle="1" w:styleId="category-name">
    <w:name w:val="category-name"/>
    <w:basedOn w:val="a0"/>
    <w:rsid w:val="00A94F2A"/>
  </w:style>
  <w:style w:type="character" w:customStyle="1" w:styleId="published">
    <w:name w:val="published"/>
    <w:basedOn w:val="a0"/>
    <w:rsid w:val="00A94F2A"/>
  </w:style>
  <w:style w:type="character" w:customStyle="1" w:styleId="hits">
    <w:name w:val="hits"/>
    <w:basedOn w:val="a0"/>
    <w:rsid w:val="00A94F2A"/>
  </w:style>
  <w:style w:type="character" w:customStyle="1" w:styleId="fa">
    <w:name w:val="fa"/>
    <w:basedOn w:val="a0"/>
    <w:rsid w:val="00156136"/>
  </w:style>
</w:styles>
</file>

<file path=word/webSettings.xml><?xml version="1.0" encoding="utf-8"?>
<w:webSettings xmlns:r="http://schemas.openxmlformats.org/officeDocument/2006/relationships" xmlns:w="http://schemas.openxmlformats.org/wordprocessingml/2006/main">
  <w:divs>
    <w:div w:id="156767362">
      <w:bodyDiv w:val="1"/>
      <w:marLeft w:val="0"/>
      <w:marRight w:val="0"/>
      <w:marTop w:val="0"/>
      <w:marBottom w:val="0"/>
      <w:divBdr>
        <w:top w:val="none" w:sz="0" w:space="0" w:color="auto"/>
        <w:left w:val="none" w:sz="0" w:space="0" w:color="auto"/>
        <w:bottom w:val="none" w:sz="0" w:space="0" w:color="auto"/>
        <w:right w:val="none" w:sz="0" w:space="0" w:color="auto"/>
      </w:divBdr>
    </w:div>
    <w:div w:id="901870408">
      <w:bodyDiv w:val="1"/>
      <w:marLeft w:val="0"/>
      <w:marRight w:val="0"/>
      <w:marTop w:val="0"/>
      <w:marBottom w:val="0"/>
      <w:divBdr>
        <w:top w:val="none" w:sz="0" w:space="0" w:color="auto"/>
        <w:left w:val="none" w:sz="0" w:space="0" w:color="auto"/>
        <w:bottom w:val="none" w:sz="0" w:space="0" w:color="auto"/>
        <w:right w:val="none" w:sz="0" w:space="0" w:color="auto"/>
      </w:divBdr>
    </w:div>
    <w:div w:id="1077246638">
      <w:bodyDiv w:val="1"/>
      <w:marLeft w:val="0"/>
      <w:marRight w:val="0"/>
      <w:marTop w:val="0"/>
      <w:marBottom w:val="0"/>
      <w:divBdr>
        <w:top w:val="none" w:sz="0" w:space="0" w:color="auto"/>
        <w:left w:val="none" w:sz="0" w:space="0" w:color="auto"/>
        <w:bottom w:val="none" w:sz="0" w:space="0" w:color="auto"/>
        <w:right w:val="none" w:sz="0" w:space="0" w:color="auto"/>
      </w:divBdr>
    </w:div>
    <w:div w:id="13460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16043</Words>
  <Characters>91446</Characters>
  <Application>Microsoft Office Word</Application>
  <DocSecurity>0</DocSecurity>
  <Lines>762</Lines>
  <Paragraphs>214</Paragraphs>
  <ScaleCrop>false</ScaleCrop>
  <Company>SPecialiST RePack</Company>
  <LinksUpToDate>false</LinksUpToDate>
  <CharactersWithSpaces>107275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2023-12-17T11:43:00Z</dcterms:created>
  <dcterms:modified xsi:type="dcterms:W3CDTF">2023-12-17T11:45:00Z</dcterms:modified>
</cp:coreProperties>
</file>